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820" w:rsidRPr="0056231E" w:rsidRDefault="002F1820" w:rsidP="007A6E14">
      <w:pPr>
        <w:spacing w:before="120" w:after="120" w:line="240" w:lineRule="auto"/>
        <w:jc w:val="both"/>
        <w:rPr>
          <w:rFonts w:ascii="Arial" w:eastAsia="Arial" w:hAnsi="Arial" w:cs="Arial"/>
          <w:b/>
          <w:bCs/>
          <w:noProof w:val="0"/>
          <w:color w:val="000000"/>
          <w:bdr w:val="none" w:sz="0" w:space="0" w:color="auto" w:frame="1"/>
          <w:lang w:val="en-GB" w:eastAsia="en-GB"/>
        </w:rPr>
      </w:pPr>
      <w:bookmarkStart w:id="0" w:name="_GoBack"/>
      <w:r w:rsidRPr="0056231E">
        <w:rPr>
          <w:rFonts w:ascii="Arial" w:eastAsia="Calibri" w:hAnsi="Arial" w:cs="Arial"/>
          <w:b/>
          <w:bCs/>
          <w:noProof w:val="0"/>
          <w:color w:val="000000"/>
          <w:bdr w:val="none" w:sz="0" w:space="0" w:color="auto" w:frame="1"/>
          <w:lang w:val="en-GB" w:eastAsia="en-GB"/>
        </w:rPr>
        <w:t>DELEGATION OF THE EUROPEAN UNION TO TURKEY</w:t>
      </w:r>
    </w:p>
    <w:bookmarkEnd w:id="0"/>
    <w:p w:rsidR="002F1820" w:rsidRPr="0056231E" w:rsidRDefault="002F1820" w:rsidP="007A6E14">
      <w:pPr>
        <w:spacing w:after="120" w:line="240" w:lineRule="auto"/>
        <w:jc w:val="both"/>
        <w:rPr>
          <w:rFonts w:ascii="Arial" w:eastAsia="Arial" w:hAnsi="Arial" w:cs="Arial"/>
          <w:noProof w:val="0"/>
          <w:color w:val="000000"/>
          <w:bdr w:val="none" w:sz="0" w:space="0" w:color="auto" w:frame="1"/>
          <w:lang w:val="nl-NL" w:eastAsia="en-GB"/>
        </w:rPr>
      </w:pPr>
      <w:r w:rsidRPr="0056231E">
        <w:rPr>
          <w:rFonts w:ascii="Arial" w:eastAsia="Calibri" w:hAnsi="Arial" w:cs="Arial"/>
          <w:b/>
          <w:bCs/>
          <w:noProof w:val="0"/>
          <w:color w:val="000000"/>
          <w:bdr w:val="none" w:sz="0" w:space="0" w:color="auto" w:frame="1"/>
          <w:lang w:val="nl-NL" w:eastAsia="en-GB"/>
        </w:rPr>
        <w:t>Author:</w:t>
      </w:r>
      <w:r w:rsidR="002E6CEC">
        <w:rPr>
          <w:rFonts w:ascii="Arial" w:eastAsia="Calibri" w:hAnsi="Arial" w:cs="Arial"/>
          <w:b/>
          <w:bCs/>
          <w:noProof w:val="0"/>
          <w:color w:val="000000"/>
          <w:bdr w:val="none" w:sz="0" w:space="0" w:color="auto" w:frame="1"/>
          <w:lang w:val="nl-NL" w:eastAsia="en-GB"/>
        </w:rPr>
        <w:t xml:space="preserve"> </w:t>
      </w:r>
      <w:r w:rsidR="002E6CEC">
        <w:rPr>
          <w:rFonts w:ascii="Arial" w:eastAsia="Calibri" w:hAnsi="Arial" w:cs="Arial"/>
          <w:bCs/>
          <w:noProof w:val="0"/>
          <w:color w:val="000000"/>
          <w:bdr w:val="none" w:sz="0" w:space="0" w:color="auto" w:frame="1"/>
          <w:lang w:val="nl-NL" w:eastAsia="en-GB"/>
        </w:rPr>
        <w:t>Elina Papadimouli</w:t>
      </w:r>
      <w:r w:rsidR="006A411C">
        <w:rPr>
          <w:rFonts w:ascii="Arial" w:eastAsia="Calibri" w:hAnsi="Arial" w:cs="Arial"/>
          <w:noProof w:val="0"/>
          <w:color w:val="000000"/>
          <w:bdr w:val="none" w:sz="0" w:space="0" w:color="auto" w:frame="1"/>
          <w:lang w:val="nl-NL" w:eastAsia="en-GB"/>
        </w:rPr>
        <w:t xml:space="preserve"> (POL)</w:t>
      </w:r>
      <w:r w:rsidR="00F8735B">
        <w:rPr>
          <w:rFonts w:ascii="Arial" w:eastAsia="Calibri" w:hAnsi="Arial" w:cs="Arial"/>
          <w:noProof w:val="0"/>
          <w:color w:val="000000"/>
          <w:bdr w:val="none" w:sz="0" w:space="0" w:color="auto" w:frame="1"/>
          <w:lang w:val="nl-NL" w:eastAsia="en-GB"/>
        </w:rPr>
        <w:t xml:space="preserve"> </w:t>
      </w:r>
      <w:r w:rsidRPr="0056231E">
        <w:rPr>
          <w:rFonts w:ascii="Arial" w:eastAsia="Calibri" w:hAnsi="Arial" w:cs="Arial"/>
          <w:noProof w:val="0"/>
          <w:color w:val="000000"/>
          <w:bdr w:val="none" w:sz="0" w:space="0" w:color="auto" w:frame="1"/>
          <w:lang w:val="nl-NL" w:eastAsia="en-GB"/>
        </w:rPr>
        <w:tab/>
      </w:r>
      <w:r w:rsidR="002E6CEC">
        <w:rPr>
          <w:rFonts w:ascii="Arial" w:eastAsia="Calibri" w:hAnsi="Arial" w:cs="Arial"/>
          <w:noProof w:val="0"/>
          <w:color w:val="000000"/>
          <w:bdr w:val="none" w:sz="0" w:space="0" w:color="auto" w:frame="1"/>
          <w:lang w:val="nl-NL" w:eastAsia="en-GB"/>
        </w:rPr>
        <w:tab/>
      </w:r>
      <w:r w:rsidR="002E6CEC">
        <w:rPr>
          <w:rFonts w:ascii="Arial" w:eastAsia="Calibri" w:hAnsi="Arial" w:cs="Arial"/>
          <w:noProof w:val="0"/>
          <w:color w:val="000000"/>
          <w:bdr w:val="none" w:sz="0" w:space="0" w:color="auto" w:frame="1"/>
          <w:lang w:val="nl-NL" w:eastAsia="en-GB"/>
        </w:rPr>
        <w:tab/>
      </w:r>
      <w:r w:rsidR="002E6CEC">
        <w:rPr>
          <w:rFonts w:ascii="Arial" w:eastAsia="Calibri" w:hAnsi="Arial" w:cs="Arial"/>
          <w:noProof w:val="0"/>
          <w:color w:val="000000"/>
          <w:bdr w:val="none" w:sz="0" w:space="0" w:color="auto" w:frame="1"/>
          <w:lang w:val="nl-NL" w:eastAsia="en-GB"/>
        </w:rPr>
        <w:tab/>
      </w:r>
      <w:r w:rsidR="002E6CEC">
        <w:rPr>
          <w:rFonts w:ascii="Arial" w:eastAsia="Calibri" w:hAnsi="Arial" w:cs="Arial"/>
          <w:noProof w:val="0"/>
          <w:color w:val="000000"/>
          <w:bdr w:val="none" w:sz="0" w:space="0" w:color="auto" w:frame="1"/>
          <w:lang w:val="nl-NL" w:eastAsia="en-GB"/>
        </w:rPr>
        <w:tab/>
      </w:r>
      <w:r w:rsidR="002E6CEC">
        <w:rPr>
          <w:rFonts w:ascii="Arial" w:eastAsia="Calibri" w:hAnsi="Arial" w:cs="Arial"/>
          <w:noProof w:val="0"/>
          <w:color w:val="000000"/>
          <w:bdr w:val="none" w:sz="0" w:space="0" w:color="auto" w:frame="1"/>
          <w:lang w:val="nl-NL" w:eastAsia="en-GB"/>
        </w:rPr>
        <w:tab/>
      </w:r>
      <w:r w:rsidRPr="0056231E">
        <w:rPr>
          <w:rFonts w:ascii="Arial" w:eastAsia="Calibri" w:hAnsi="Arial" w:cs="Arial"/>
          <w:b/>
          <w:bCs/>
          <w:noProof w:val="0"/>
          <w:color w:val="000000"/>
          <w:bdr w:val="none" w:sz="0" w:space="0" w:color="auto" w:frame="1"/>
          <w:lang w:val="nl-NL" w:eastAsia="en-GB"/>
        </w:rPr>
        <w:t>Date:</w:t>
      </w:r>
      <w:r w:rsidRPr="0056231E">
        <w:rPr>
          <w:rFonts w:ascii="Arial" w:eastAsia="Calibri" w:hAnsi="Arial" w:cs="Arial"/>
          <w:noProof w:val="0"/>
          <w:color w:val="000000"/>
          <w:bdr w:val="none" w:sz="0" w:space="0" w:color="auto" w:frame="1"/>
          <w:lang w:val="nl-NL" w:eastAsia="en-GB"/>
        </w:rPr>
        <w:t xml:space="preserve"> </w:t>
      </w:r>
      <w:r w:rsidR="00744EB5">
        <w:rPr>
          <w:rFonts w:ascii="Arial" w:eastAsia="Calibri" w:hAnsi="Arial" w:cs="Arial"/>
          <w:noProof w:val="0"/>
          <w:color w:val="000000"/>
          <w:bdr w:val="none" w:sz="0" w:space="0" w:color="auto" w:frame="1"/>
          <w:lang w:val="nl-NL" w:eastAsia="en-GB"/>
        </w:rPr>
        <w:t>11</w:t>
      </w:r>
      <w:r w:rsidR="006A411C">
        <w:rPr>
          <w:rFonts w:ascii="Arial" w:eastAsia="Calibri" w:hAnsi="Arial" w:cs="Arial"/>
          <w:noProof w:val="0"/>
          <w:color w:val="000000"/>
          <w:bdr w:val="none" w:sz="0" w:space="0" w:color="auto" w:frame="1"/>
          <w:lang w:val="nl-NL" w:eastAsia="en-GB"/>
        </w:rPr>
        <w:t>/03</w:t>
      </w:r>
      <w:r w:rsidRPr="0056231E">
        <w:rPr>
          <w:rFonts w:ascii="Arial" w:eastAsia="Calibri" w:hAnsi="Arial" w:cs="Arial"/>
          <w:noProof w:val="0"/>
          <w:color w:val="000000"/>
          <w:bdr w:val="none" w:sz="0" w:space="0" w:color="auto" w:frame="1"/>
          <w:lang w:val="nl-NL" w:eastAsia="en-GB"/>
        </w:rPr>
        <w:t>/2022</w:t>
      </w:r>
    </w:p>
    <w:p w:rsidR="002F1820" w:rsidRDefault="002F1820" w:rsidP="007A6E14">
      <w:pPr>
        <w:spacing w:after="120" w:line="240" w:lineRule="auto"/>
        <w:jc w:val="both"/>
        <w:rPr>
          <w:rFonts w:ascii="Arial" w:eastAsia="Calibri" w:hAnsi="Arial" w:cs="Arial"/>
          <w:noProof w:val="0"/>
          <w:color w:val="000000"/>
          <w:bdr w:val="none" w:sz="0" w:space="0" w:color="auto" w:frame="1"/>
          <w:lang w:val="en-GB" w:eastAsia="en-GB"/>
        </w:rPr>
      </w:pPr>
      <w:r w:rsidRPr="0056231E">
        <w:rPr>
          <w:rFonts w:ascii="Arial" w:eastAsia="Calibri" w:hAnsi="Arial" w:cs="Arial"/>
          <w:b/>
          <w:bCs/>
          <w:noProof w:val="0"/>
          <w:color w:val="000000"/>
          <w:bdr w:val="none" w:sz="0" w:space="0" w:color="auto" w:frame="1"/>
          <w:lang w:val="en-GB" w:eastAsia="en-GB"/>
        </w:rPr>
        <w:t xml:space="preserve">Number: </w:t>
      </w:r>
      <w:r w:rsidRPr="0056231E">
        <w:rPr>
          <w:rFonts w:ascii="Arial" w:eastAsia="Calibri" w:hAnsi="Arial" w:cs="Arial"/>
          <w:noProof w:val="0"/>
          <w:color w:val="000000"/>
          <w:bdr w:val="none" w:sz="0" w:space="0" w:color="auto" w:frame="1"/>
          <w:lang w:val="en-GB" w:eastAsia="en-GB"/>
        </w:rPr>
        <w:t xml:space="preserve">e-note: </w:t>
      </w:r>
      <w:r w:rsidR="00744EB5">
        <w:rPr>
          <w:rFonts w:ascii="Arial" w:eastAsia="Calibri" w:hAnsi="Arial" w:cs="Arial"/>
          <w:noProof w:val="0"/>
          <w:color w:val="000000"/>
          <w:bdr w:val="none" w:sz="0" w:space="0" w:color="auto" w:frame="1"/>
          <w:lang w:val="en-GB" w:eastAsia="en-GB"/>
        </w:rPr>
        <w:t>83</w:t>
      </w:r>
      <w:r w:rsidRPr="00273882">
        <w:rPr>
          <w:rFonts w:ascii="Arial" w:eastAsia="Calibri" w:hAnsi="Arial" w:cs="Arial"/>
          <w:noProof w:val="0"/>
          <w:color w:val="000000"/>
          <w:bdr w:val="none" w:sz="0" w:space="0" w:color="auto" w:frame="1"/>
          <w:lang w:val="en-GB" w:eastAsia="en-GB"/>
        </w:rPr>
        <w:t>/2022</w:t>
      </w:r>
      <w:r w:rsidRPr="0056231E">
        <w:rPr>
          <w:rFonts w:ascii="Arial" w:eastAsia="Calibri" w:hAnsi="Arial" w:cs="Arial"/>
          <w:noProof w:val="0"/>
          <w:color w:val="000000"/>
          <w:bdr w:val="none" w:sz="0" w:space="0" w:color="auto" w:frame="1"/>
          <w:lang w:val="en-GB" w:eastAsia="en-GB"/>
        </w:rPr>
        <w:t xml:space="preserve"> </w:t>
      </w:r>
      <w:r w:rsidRPr="0056231E">
        <w:rPr>
          <w:rFonts w:ascii="Arial" w:eastAsia="Calibri" w:hAnsi="Arial" w:cs="Arial"/>
          <w:noProof w:val="0"/>
          <w:color w:val="000000"/>
          <w:bdr w:val="none" w:sz="0" w:space="0" w:color="auto" w:frame="1"/>
          <w:lang w:val="en-GB" w:eastAsia="en-GB"/>
        </w:rPr>
        <w:tab/>
      </w:r>
      <w:r w:rsidRPr="0056231E">
        <w:rPr>
          <w:rFonts w:ascii="Arial" w:eastAsia="Calibri" w:hAnsi="Arial" w:cs="Arial"/>
          <w:noProof w:val="0"/>
          <w:color w:val="000000"/>
          <w:bdr w:val="none" w:sz="0" w:space="0" w:color="auto" w:frame="1"/>
          <w:lang w:val="en-GB" w:eastAsia="en-GB"/>
        </w:rPr>
        <w:tab/>
      </w:r>
      <w:r w:rsidRPr="0056231E">
        <w:rPr>
          <w:rFonts w:ascii="Arial" w:eastAsia="Calibri" w:hAnsi="Arial" w:cs="Arial"/>
          <w:noProof w:val="0"/>
          <w:color w:val="000000"/>
          <w:bdr w:val="none" w:sz="0" w:space="0" w:color="auto" w:frame="1"/>
          <w:lang w:val="en-GB" w:eastAsia="en-GB"/>
        </w:rPr>
        <w:tab/>
      </w:r>
      <w:r w:rsidRPr="0056231E">
        <w:rPr>
          <w:rFonts w:ascii="Arial" w:eastAsia="Calibri" w:hAnsi="Arial" w:cs="Arial"/>
          <w:noProof w:val="0"/>
          <w:color w:val="000000"/>
          <w:bdr w:val="none" w:sz="0" w:space="0" w:color="auto" w:frame="1"/>
          <w:lang w:val="en-GB" w:eastAsia="en-GB"/>
        </w:rPr>
        <w:tab/>
      </w:r>
      <w:r w:rsidRPr="0056231E">
        <w:rPr>
          <w:rFonts w:ascii="Arial" w:eastAsia="Calibri" w:hAnsi="Arial" w:cs="Arial"/>
          <w:noProof w:val="0"/>
          <w:color w:val="000000"/>
          <w:bdr w:val="none" w:sz="0" w:space="0" w:color="auto" w:frame="1"/>
          <w:lang w:val="en-GB" w:eastAsia="en-GB"/>
        </w:rPr>
        <w:tab/>
      </w:r>
      <w:r w:rsidRPr="0056231E">
        <w:rPr>
          <w:rFonts w:ascii="Arial" w:eastAsia="Calibri" w:hAnsi="Arial" w:cs="Arial"/>
          <w:noProof w:val="0"/>
          <w:color w:val="000000"/>
          <w:bdr w:val="none" w:sz="0" w:space="0" w:color="auto" w:frame="1"/>
          <w:lang w:val="en-GB" w:eastAsia="en-GB"/>
        </w:rPr>
        <w:tab/>
      </w:r>
      <w:r w:rsidRPr="0056231E">
        <w:rPr>
          <w:rFonts w:ascii="Arial" w:eastAsia="Calibri" w:hAnsi="Arial" w:cs="Arial"/>
          <w:b/>
          <w:bCs/>
          <w:noProof w:val="0"/>
          <w:color w:val="000000"/>
          <w:bdr w:val="none" w:sz="0" w:space="0" w:color="auto" w:frame="1"/>
          <w:lang w:val="en-GB" w:eastAsia="en-GB"/>
        </w:rPr>
        <w:t xml:space="preserve">Transmission: </w:t>
      </w:r>
      <w:r w:rsidRPr="0056231E">
        <w:rPr>
          <w:rFonts w:ascii="Arial" w:eastAsia="Calibri" w:hAnsi="Arial" w:cs="Arial"/>
          <w:noProof w:val="0"/>
          <w:color w:val="000000"/>
          <w:bdr w:val="none" w:sz="0" w:space="0" w:color="auto" w:frame="1"/>
          <w:lang w:val="en-GB" w:eastAsia="en-GB"/>
        </w:rPr>
        <w:t>SECEM</w:t>
      </w:r>
    </w:p>
    <w:p w:rsidR="002F1820" w:rsidRPr="0056231E" w:rsidRDefault="006A411C" w:rsidP="007A6E14">
      <w:pPr>
        <w:spacing w:before="120" w:after="120" w:line="240" w:lineRule="auto"/>
        <w:jc w:val="both"/>
        <w:rPr>
          <w:rFonts w:ascii="Arial" w:eastAsia="Arial" w:hAnsi="Arial" w:cs="Arial"/>
          <w:i/>
          <w:iCs/>
          <w:noProof w:val="0"/>
          <w:color w:val="000000"/>
          <w:bdr w:val="none" w:sz="0" w:space="0" w:color="auto" w:frame="1"/>
          <w:lang w:val="en-GB" w:eastAsia="en-GB"/>
        </w:rPr>
      </w:pPr>
      <w:r>
        <w:rPr>
          <w:rFonts w:ascii="Arial" w:eastAsia="Arial Unicode MS" w:hAnsi="Arial" w:cs="Arial"/>
          <w:i/>
          <w:iCs/>
          <w:noProof w:val="0"/>
          <w:color w:val="000000"/>
          <w:bdr w:val="none" w:sz="0" w:space="0" w:color="auto" w:frame="1"/>
          <w:lang w:val="en-GB" w:eastAsia="en-GB"/>
        </w:rPr>
        <w:t>T</w:t>
      </w:r>
      <w:r w:rsidR="002F1820" w:rsidRPr="0056231E">
        <w:rPr>
          <w:rFonts w:ascii="Arial" w:eastAsia="Arial Unicode MS" w:hAnsi="Arial" w:cs="Arial"/>
          <w:i/>
          <w:iCs/>
          <w:noProof w:val="0"/>
          <w:color w:val="000000"/>
          <w:bdr w:val="none" w:sz="0" w:space="0" w:color="auto" w:frame="1"/>
          <w:lang w:val="en-GB" w:eastAsia="en-GB"/>
        </w:rPr>
        <w:t xml:space="preserve">o be shared with MS </w:t>
      </w:r>
      <w:r>
        <w:rPr>
          <w:rFonts w:ascii="Arial" w:eastAsia="Arial Unicode MS" w:hAnsi="Arial" w:cs="Arial"/>
          <w:i/>
          <w:iCs/>
          <w:noProof w:val="0"/>
          <w:color w:val="000000"/>
          <w:bdr w:val="none" w:sz="0" w:space="0" w:color="auto" w:frame="1"/>
          <w:lang w:val="en-GB" w:eastAsia="en-GB"/>
        </w:rPr>
        <w:t>without assessment</w:t>
      </w:r>
    </w:p>
    <w:p w:rsidR="002F1820" w:rsidRPr="0056231E" w:rsidRDefault="002F1820" w:rsidP="007A6E14">
      <w:pPr>
        <w:spacing w:before="120" w:after="240" w:line="240" w:lineRule="auto"/>
        <w:jc w:val="both"/>
        <w:rPr>
          <w:rFonts w:ascii="Arial" w:eastAsia="Arial" w:hAnsi="Arial" w:cs="Arial"/>
          <w:noProof w:val="0"/>
          <w:color w:val="000000"/>
          <w:bdr w:val="none" w:sz="0" w:space="0" w:color="auto" w:frame="1"/>
          <w:lang w:val="en-GB" w:eastAsia="en-GB"/>
        </w:rPr>
      </w:pPr>
      <w:r w:rsidRPr="0056231E">
        <w:rPr>
          <w:rFonts w:ascii="Arial" w:eastAsia="Calibri" w:hAnsi="Arial" w:cs="Arial"/>
          <w:noProof w:val="0"/>
          <w:color w:val="000000"/>
          <w:bdr w:val="none" w:sz="0" w:space="0" w:color="auto" w:frame="1"/>
          <w:lang w:val="en-GB" w:eastAsia="en-GB"/>
        </w:rPr>
        <w:t>To:</w:t>
      </w:r>
      <w:r w:rsidRPr="0056231E">
        <w:rPr>
          <w:rFonts w:ascii="Arial" w:eastAsia="Calibri" w:hAnsi="Arial" w:cs="Arial"/>
          <w:b/>
          <w:bCs/>
          <w:noProof w:val="0"/>
          <w:color w:val="000000"/>
          <w:bdr w:val="none" w:sz="0" w:space="0" w:color="auto" w:frame="1"/>
          <w:lang w:val="en-GB" w:eastAsia="en-GB"/>
        </w:rPr>
        <w:t xml:space="preserve"> </w:t>
      </w:r>
      <w:r w:rsidRPr="0056231E">
        <w:rPr>
          <w:rFonts w:ascii="Arial" w:eastAsia="Calibri" w:hAnsi="Arial" w:cs="Arial"/>
          <w:noProof w:val="0"/>
          <w:color w:val="000000"/>
          <w:bdr w:val="none" w:sz="0" w:space="0" w:color="auto" w:frame="1"/>
          <w:lang w:val="en-GB" w:eastAsia="en-GB"/>
        </w:rPr>
        <w:t xml:space="preserve">EEAS MD Angelina EICHHORST, </w:t>
      </w:r>
      <w:r w:rsidRPr="0056231E">
        <w:rPr>
          <w:rFonts w:ascii="Arial" w:eastAsia="Calibri" w:hAnsi="Arial" w:cs="Arial"/>
          <w:noProof w:val="0"/>
          <w:lang w:val="en-GB"/>
        </w:rPr>
        <w:t>Acting COM NEAR DG Maciej POPOWSKI</w:t>
      </w:r>
    </w:p>
    <w:p w:rsidR="002F1820" w:rsidRPr="00744EB5" w:rsidRDefault="002E6CEC" w:rsidP="007A6E14">
      <w:pPr>
        <w:spacing w:after="120" w:line="240" w:lineRule="auto"/>
        <w:ind w:left="1440" w:hanging="1440"/>
        <w:jc w:val="both"/>
        <w:rPr>
          <w:rFonts w:ascii="Arial" w:eastAsia="Calibri" w:hAnsi="Arial" w:cs="Arial"/>
          <w:b/>
          <w:bCs/>
          <w:noProof w:val="0"/>
          <w:color w:val="000000"/>
          <w:bdr w:val="none" w:sz="0" w:space="0" w:color="auto" w:frame="1"/>
          <w:lang w:val="en-GB" w:eastAsia="en-GB"/>
        </w:rPr>
      </w:pPr>
      <w:r>
        <w:rPr>
          <w:rFonts w:ascii="Arial" w:eastAsia="Calibri" w:hAnsi="Arial" w:cs="Arial"/>
          <w:b/>
          <w:bCs/>
          <w:noProof w:val="0"/>
          <w:color w:val="000000"/>
          <w:bdr w:val="none" w:sz="0" w:space="0" w:color="auto" w:frame="1"/>
          <w:lang w:val="en-GB" w:eastAsia="en-GB"/>
        </w:rPr>
        <w:t>Subject:</w:t>
      </w:r>
      <w:r>
        <w:rPr>
          <w:rFonts w:ascii="Arial" w:eastAsia="Calibri" w:hAnsi="Arial" w:cs="Arial"/>
          <w:b/>
          <w:bCs/>
          <w:noProof w:val="0"/>
          <w:color w:val="000000"/>
          <w:bdr w:val="none" w:sz="0" w:space="0" w:color="auto" w:frame="1"/>
          <w:lang w:val="en-GB" w:eastAsia="en-GB"/>
        </w:rPr>
        <w:tab/>
      </w:r>
      <w:r w:rsidR="00744EB5" w:rsidRPr="00744EB5">
        <w:rPr>
          <w:rFonts w:ascii="Arial" w:eastAsia="Times New Roman" w:hAnsi="Arial" w:cs="Arial"/>
          <w:b/>
          <w:lang w:eastAsia="en-GB"/>
        </w:rPr>
        <w:t>Turkey – Does the improvement of relations with UAE affirm a “pause to ideological competition and mutual suspicion”?</w:t>
      </w:r>
    </w:p>
    <w:p w:rsidR="002F1820" w:rsidRDefault="002F1820" w:rsidP="007A6E14">
      <w:pPr>
        <w:spacing w:after="120" w:line="240" w:lineRule="auto"/>
        <w:jc w:val="both"/>
        <w:rPr>
          <w:rFonts w:ascii="Arial" w:eastAsia="Calibri" w:hAnsi="Arial" w:cs="Arial"/>
          <w:b/>
          <w:noProof w:val="0"/>
          <w:u w:val="single"/>
          <w:lang w:val="en-GB"/>
        </w:rPr>
      </w:pPr>
      <w:r w:rsidRPr="0056231E">
        <w:rPr>
          <w:rFonts w:ascii="Arial" w:eastAsia="Calibri" w:hAnsi="Arial" w:cs="Arial"/>
          <w:b/>
          <w:noProof w:val="0"/>
          <w:u w:val="single"/>
          <w:lang w:val="en-GB"/>
        </w:rPr>
        <w:t>Summary</w:t>
      </w:r>
    </w:p>
    <w:p w:rsidR="007D2903" w:rsidRDefault="00744EB5" w:rsidP="00736DA5">
      <w:pPr>
        <w:spacing w:after="120"/>
        <w:jc w:val="both"/>
        <w:rPr>
          <w:rFonts w:ascii="Arial" w:eastAsia="Times New Roman" w:hAnsi="Arial" w:cs="Arial"/>
          <w:b/>
          <w:i/>
          <w:noProof w:val="0"/>
          <w:lang w:val="en-GB" w:eastAsia="en-GB"/>
        </w:rPr>
      </w:pPr>
      <w:r w:rsidRPr="00744EB5">
        <w:rPr>
          <w:rFonts w:ascii="Arial" w:eastAsia="Times New Roman" w:hAnsi="Arial" w:cs="Arial"/>
          <w:b/>
          <w:i/>
          <w:noProof w:val="0"/>
          <w:lang w:val="en-GB" w:eastAsia="en-GB"/>
        </w:rPr>
        <w:t xml:space="preserve">The TR-UAE rapprochement efforts have been driven primarily by pragmatism, identifying common grounds mainly </w:t>
      </w:r>
      <w:r w:rsidR="007D2903">
        <w:rPr>
          <w:rFonts w:ascii="Arial" w:eastAsia="Times New Roman" w:hAnsi="Arial" w:cs="Arial"/>
          <w:b/>
          <w:i/>
          <w:noProof w:val="0"/>
          <w:lang w:val="en-GB" w:eastAsia="en-GB"/>
        </w:rPr>
        <w:t>i</w:t>
      </w:r>
      <w:r w:rsidRPr="00744EB5">
        <w:rPr>
          <w:rFonts w:ascii="Arial" w:eastAsia="Times New Roman" w:hAnsi="Arial" w:cs="Arial"/>
          <w:b/>
          <w:i/>
          <w:noProof w:val="0"/>
          <w:lang w:val="en-GB" w:eastAsia="en-GB"/>
        </w:rPr>
        <w:t xml:space="preserve">n the economic sphere. </w:t>
      </w:r>
    </w:p>
    <w:p w:rsidR="007D2903" w:rsidRDefault="007D2903" w:rsidP="00F700C8">
      <w:pPr>
        <w:spacing w:after="120"/>
        <w:jc w:val="both"/>
        <w:rPr>
          <w:rFonts w:ascii="Arial" w:hAnsi="Arial" w:cs="Arial"/>
          <w:b/>
          <w:i/>
          <w:noProof w:val="0"/>
          <w:lang w:val="en-GB"/>
        </w:rPr>
      </w:pPr>
      <w:r>
        <w:rPr>
          <w:rFonts w:ascii="Arial" w:hAnsi="Arial" w:cs="Arial"/>
          <w:b/>
          <w:i/>
          <w:noProof w:val="0"/>
          <w:lang w:val="en-GB"/>
        </w:rPr>
        <w:t>G</w:t>
      </w:r>
      <w:r w:rsidR="00744EB5" w:rsidRPr="00744EB5">
        <w:rPr>
          <w:rFonts w:ascii="Arial" w:hAnsi="Arial" w:cs="Arial"/>
          <w:b/>
          <w:i/>
          <w:noProof w:val="0"/>
          <w:lang w:val="en-GB"/>
        </w:rPr>
        <w:t xml:space="preserve">eopolitical changes </w:t>
      </w:r>
      <w:r>
        <w:rPr>
          <w:rFonts w:ascii="Arial" w:hAnsi="Arial" w:cs="Arial"/>
          <w:b/>
          <w:i/>
          <w:noProof w:val="0"/>
          <w:lang w:val="en-GB"/>
        </w:rPr>
        <w:t xml:space="preserve">in the region </w:t>
      </w:r>
      <w:r w:rsidR="00744EB5" w:rsidRPr="00744EB5">
        <w:rPr>
          <w:rFonts w:ascii="Arial" w:hAnsi="Arial" w:cs="Arial"/>
          <w:b/>
          <w:i/>
          <w:noProof w:val="0"/>
          <w:lang w:val="en-GB"/>
        </w:rPr>
        <w:t xml:space="preserve">have contributed to TR’s </w:t>
      </w:r>
      <w:r>
        <w:rPr>
          <w:rFonts w:ascii="Arial" w:hAnsi="Arial" w:cs="Arial"/>
          <w:b/>
          <w:i/>
          <w:noProof w:val="0"/>
          <w:lang w:val="en-GB"/>
        </w:rPr>
        <w:t>change</w:t>
      </w:r>
      <w:r w:rsidRPr="00744EB5">
        <w:rPr>
          <w:rFonts w:ascii="Arial" w:hAnsi="Arial" w:cs="Arial"/>
          <w:b/>
          <w:i/>
          <w:noProof w:val="0"/>
          <w:lang w:val="en-GB"/>
        </w:rPr>
        <w:t xml:space="preserve"> </w:t>
      </w:r>
      <w:r w:rsidR="00744EB5" w:rsidRPr="00744EB5">
        <w:rPr>
          <w:rFonts w:ascii="Arial" w:hAnsi="Arial" w:cs="Arial"/>
          <w:b/>
          <w:i/>
          <w:noProof w:val="0"/>
          <w:lang w:val="en-GB"/>
        </w:rPr>
        <w:t>in its strategies in the region</w:t>
      </w:r>
      <w:r>
        <w:rPr>
          <w:rFonts w:ascii="Arial" w:hAnsi="Arial" w:cs="Arial"/>
          <w:b/>
          <w:i/>
          <w:noProof w:val="0"/>
          <w:lang w:val="en-GB"/>
        </w:rPr>
        <w:t>, which</w:t>
      </w:r>
      <w:r w:rsidR="00744EB5" w:rsidRPr="00744EB5">
        <w:rPr>
          <w:rFonts w:ascii="Arial" w:hAnsi="Arial" w:cs="Arial"/>
          <w:b/>
          <w:i/>
          <w:noProof w:val="0"/>
          <w:lang w:val="en-GB"/>
        </w:rPr>
        <w:t xml:space="preserve"> led to the acceleration of the rapprochement with UAE</w:t>
      </w:r>
      <w:r w:rsidR="00744EB5">
        <w:rPr>
          <w:rFonts w:ascii="Arial" w:hAnsi="Arial" w:cs="Arial"/>
          <w:b/>
          <w:i/>
          <w:noProof w:val="0"/>
          <w:lang w:val="en-GB"/>
        </w:rPr>
        <w:t>.</w:t>
      </w:r>
      <w:r>
        <w:rPr>
          <w:rFonts w:ascii="Arial" w:hAnsi="Arial" w:cs="Arial"/>
          <w:b/>
          <w:i/>
          <w:noProof w:val="0"/>
          <w:lang w:val="en-GB"/>
        </w:rPr>
        <w:t xml:space="preserve"> Notably, US disengagement, confirmed by the Biden Administration, led</w:t>
      </w:r>
      <w:r w:rsidR="00744EB5" w:rsidRPr="00744EB5">
        <w:rPr>
          <w:rFonts w:ascii="Arial" w:hAnsi="Arial" w:cs="Arial"/>
          <w:b/>
          <w:i/>
          <w:noProof w:val="0"/>
          <w:lang w:val="en-GB"/>
        </w:rPr>
        <w:t xml:space="preserve"> the Gulf States</w:t>
      </w:r>
      <w:r>
        <w:rPr>
          <w:rFonts w:ascii="Arial" w:hAnsi="Arial" w:cs="Arial"/>
          <w:b/>
          <w:i/>
          <w:noProof w:val="0"/>
          <w:lang w:val="en-GB"/>
        </w:rPr>
        <w:t>,</w:t>
      </w:r>
      <w:r w:rsidR="00744EB5" w:rsidRPr="00744EB5">
        <w:rPr>
          <w:rFonts w:ascii="Arial" w:hAnsi="Arial" w:cs="Arial"/>
          <w:b/>
          <w:i/>
          <w:noProof w:val="0"/>
          <w:lang w:val="en-GB"/>
        </w:rPr>
        <w:t xml:space="preserve"> who relied on US support, </w:t>
      </w:r>
      <w:r>
        <w:rPr>
          <w:rFonts w:ascii="Arial" w:hAnsi="Arial" w:cs="Arial"/>
          <w:b/>
          <w:i/>
          <w:noProof w:val="0"/>
          <w:lang w:val="en-GB"/>
        </w:rPr>
        <w:t>to</w:t>
      </w:r>
      <w:r w:rsidR="00744EB5" w:rsidRPr="00744EB5">
        <w:rPr>
          <w:rFonts w:ascii="Arial" w:hAnsi="Arial" w:cs="Arial"/>
          <w:b/>
          <w:i/>
          <w:noProof w:val="0"/>
          <w:lang w:val="en-GB"/>
        </w:rPr>
        <w:t xml:space="preserve"> pullback from regional conflicts</w:t>
      </w:r>
      <w:r>
        <w:rPr>
          <w:rFonts w:ascii="Arial" w:hAnsi="Arial" w:cs="Arial"/>
          <w:b/>
          <w:i/>
          <w:noProof w:val="0"/>
          <w:lang w:val="en-GB"/>
        </w:rPr>
        <w:t>,</w:t>
      </w:r>
      <w:r w:rsidR="00744EB5" w:rsidRPr="00744EB5">
        <w:rPr>
          <w:rFonts w:ascii="Arial" w:hAnsi="Arial" w:cs="Arial"/>
          <w:b/>
          <w:i/>
          <w:noProof w:val="0"/>
          <w:lang w:val="en-GB"/>
        </w:rPr>
        <w:t xml:space="preserve"> </w:t>
      </w:r>
      <w:r>
        <w:rPr>
          <w:rFonts w:ascii="Arial" w:hAnsi="Arial" w:cs="Arial"/>
          <w:b/>
          <w:i/>
          <w:noProof w:val="0"/>
          <w:lang w:val="en-GB"/>
        </w:rPr>
        <w:t>engage in</w:t>
      </w:r>
      <w:r w:rsidRPr="00744EB5">
        <w:rPr>
          <w:rFonts w:ascii="Arial" w:hAnsi="Arial" w:cs="Arial"/>
          <w:b/>
          <w:i/>
          <w:noProof w:val="0"/>
          <w:lang w:val="en-GB"/>
        </w:rPr>
        <w:t xml:space="preserve"> </w:t>
      </w:r>
      <w:r w:rsidR="00744EB5" w:rsidRPr="00744EB5">
        <w:rPr>
          <w:rFonts w:ascii="Arial" w:hAnsi="Arial" w:cs="Arial"/>
          <w:b/>
          <w:i/>
          <w:noProof w:val="0"/>
          <w:lang w:val="en-GB"/>
        </w:rPr>
        <w:t xml:space="preserve">diplomacy and </w:t>
      </w:r>
      <w:r>
        <w:rPr>
          <w:rFonts w:ascii="Arial" w:hAnsi="Arial" w:cs="Arial"/>
          <w:b/>
          <w:i/>
          <w:noProof w:val="0"/>
          <w:lang w:val="en-GB"/>
        </w:rPr>
        <w:t xml:space="preserve">develop </w:t>
      </w:r>
      <w:r w:rsidR="00744EB5" w:rsidRPr="00744EB5">
        <w:rPr>
          <w:rFonts w:ascii="Arial" w:hAnsi="Arial" w:cs="Arial"/>
          <w:b/>
          <w:i/>
          <w:noProof w:val="0"/>
          <w:lang w:val="en-GB"/>
        </w:rPr>
        <w:t xml:space="preserve">business links. </w:t>
      </w:r>
    </w:p>
    <w:p w:rsidR="00744EB5" w:rsidRPr="00744EB5" w:rsidRDefault="007D2903" w:rsidP="00744EB5">
      <w:pPr>
        <w:spacing w:after="120" w:line="240" w:lineRule="auto"/>
        <w:jc w:val="both"/>
        <w:rPr>
          <w:rFonts w:ascii="Arial" w:hAnsi="Arial" w:cs="Arial"/>
          <w:b/>
          <w:i/>
          <w:noProof w:val="0"/>
          <w:lang w:val="en-GB"/>
        </w:rPr>
      </w:pPr>
      <w:r>
        <w:rPr>
          <w:rFonts w:ascii="Arial" w:hAnsi="Arial" w:cs="Arial"/>
          <w:b/>
          <w:i/>
          <w:noProof w:val="0"/>
          <w:lang w:val="en-GB"/>
        </w:rPr>
        <w:t xml:space="preserve">Having the Muslim Brotherhood been seriously rolled back, </w:t>
      </w:r>
      <w:r w:rsidR="00744EB5" w:rsidRPr="00744EB5">
        <w:rPr>
          <w:rFonts w:ascii="Arial" w:eastAsia="Times New Roman" w:hAnsi="Arial" w:cs="Arial"/>
          <w:b/>
          <w:i/>
          <w:noProof w:val="0"/>
          <w:lang w:val="en-GB" w:eastAsia="en-GB"/>
        </w:rPr>
        <w:t xml:space="preserve">TR </w:t>
      </w:r>
      <w:r>
        <w:rPr>
          <w:rFonts w:ascii="Arial" w:eastAsia="Times New Roman" w:hAnsi="Arial" w:cs="Arial"/>
          <w:b/>
          <w:i/>
          <w:noProof w:val="0"/>
          <w:lang w:val="en-GB" w:eastAsia="en-GB"/>
        </w:rPr>
        <w:t xml:space="preserve">now </w:t>
      </w:r>
      <w:r w:rsidR="00744EB5" w:rsidRPr="00744EB5">
        <w:rPr>
          <w:rFonts w:ascii="Arial" w:eastAsia="Times New Roman" w:hAnsi="Arial" w:cs="Arial"/>
          <w:b/>
          <w:i/>
          <w:noProof w:val="0"/>
          <w:lang w:val="en-GB" w:eastAsia="en-GB"/>
        </w:rPr>
        <w:t>looks less threatening over the legitimacy and stability of the Gulf monarchies</w:t>
      </w:r>
      <w:r>
        <w:rPr>
          <w:rFonts w:ascii="Arial" w:eastAsia="Times New Roman" w:hAnsi="Arial" w:cs="Arial"/>
          <w:b/>
          <w:i/>
          <w:noProof w:val="0"/>
          <w:lang w:val="en-GB" w:eastAsia="en-GB"/>
        </w:rPr>
        <w:t>.</w:t>
      </w:r>
      <w:r w:rsidR="00626509">
        <w:rPr>
          <w:rFonts w:ascii="Arial" w:eastAsia="Times New Roman" w:hAnsi="Arial" w:cs="Arial"/>
          <w:b/>
          <w:i/>
          <w:noProof w:val="0"/>
          <w:lang w:val="en-GB" w:eastAsia="en-GB"/>
        </w:rPr>
        <w:t xml:space="preserve"> This took out a major hurdle in TR-UAE relations and allowed the swift rapprochement, even though key disagreements remain (notably in LIB). </w:t>
      </w:r>
      <w:r w:rsidR="000F1FD4">
        <w:rPr>
          <w:rFonts w:ascii="Arial" w:eastAsia="Times New Roman" w:hAnsi="Arial" w:cs="Arial"/>
          <w:b/>
          <w:i/>
          <w:noProof w:val="0"/>
          <w:lang w:val="en-GB" w:eastAsia="en-GB"/>
        </w:rPr>
        <w:t>Nevertheless</w:t>
      </w:r>
      <w:r w:rsidR="00626509">
        <w:rPr>
          <w:rFonts w:ascii="Arial" w:eastAsia="Times New Roman" w:hAnsi="Arial" w:cs="Arial"/>
          <w:b/>
          <w:i/>
          <w:noProof w:val="0"/>
          <w:lang w:val="en-GB" w:eastAsia="en-GB"/>
        </w:rPr>
        <w:t>, at the same time, interesting pragmatic cooperation is emerging</w:t>
      </w:r>
      <w:r w:rsidR="000F1FD4">
        <w:rPr>
          <w:rFonts w:ascii="Arial" w:eastAsia="Times New Roman" w:hAnsi="Arial" w:cs="Arial"/>
          <w:b/>
          <w:i/>
          <w:noProof w:val="0"/>
          <w:lang w:val="en-GB" w:eastAsia="en-GB"/>
        </w:rPr>
        <w:t xml:space="preserve"> </w:t>
      </w:r>
      <w:r w:rsidR="00626509">
        <w:rPr>
          <w:rFonts w:ascii="Arial" w:eastAsia="Times New Roman" w:hAnsi="Arial" w:cs="Arial"/>
          <w:b/>
          <w:i/>
          <w:noProof w:val="0"/>
          <w:lang w:val="en-GB" w:eastAsia="en-GB"/>
        </w:rPr>
        <w:t>as in ETH, where</w:t>
      </w:r>
      <w:r w:rsidR="00744EB5" w:rsidRPr="00744EB5">
        <w:rPr>
          <w:rFonts w:ascii="Arial" w:hAnsi="Arial" w:cs="Arial"/>
          <w:b/>
          <w:i/>
          <w:noProof w:val="0"/>
          <w:lang w:val="en-GB"/>
        </w:rPr>
        <w:t xml:space="preserve"> </w:t>
      </w:r>
      <w:r w:rsidR="00626509">
        <w:rPr>
          <w:rFonts w:ascii="Arial" w:hAnsi="Arial" w:cs="Arial"/>
          <w:b/>
          <w:i/>
          <w:noProof w:val="0"/>
          <w:lang w:val="en-GB"/>
        </w:rPr>
        <w:t>both</w:t>
      </w:r>
      <w:r w:rsidR="00744EB5" w:rsidRPr="00744EB5">
        <w:rPr>
          <w:rFonts w:ascii="Arial" w:hAnsi="Arial" w:cs="Arial"/>
          <w:b/>
          <w:i/>
          <w:noProof w:val="0"/>
          <w:lang w:val="en-GB"/>
        </w:rPr>
        <w:t xml:space="preserve"> TR and UAE supported Ethiopian’s government</w:t>
      </w:r>
      <w:r w:rsidR="00626509">
        <w:rPr>
          <w:rFonts w:ascii="Arial" w:hAnsi="Arial" w:cs="Arial"/>
          <w:b/>
          <w:i/>
          <w:noProof w:val="0"/>
          <w:lang w:val="en-GB"/>
        </w:rPr>
        <w:t>. There,</w:t>
      </w:r>
      <w:r w:rsidR="00744EB5" w:rsidRPr="00744EB5">
        <w:rPr>
          <w:rFonts w:ascii="Arial" w:hAnsi="Arial" w:cs="Arial"/>
          <w:b/>
          <w:i/>
          <w:noProof w:val="0"/>
          <w:lang w:val="en-GB"/>
        </w:rPr>
        <w:t xml:space="preserve"> the need for reconstruction provides a big potential for synergies between the two countries.</w:t>
      </w:r>
    </w:p>
    <w:p w:rsidR="00744EB5" w:rsidRPr="00744EB5" w:rsidRDefault="00626509" w:rsidP="00744EB5">
      <w:pPr>
        <w:spacing w:after="120" w:line="240" w:lineRule="auto"/>
        <w:jc w:val="both"/>
        <w:rPr>
          <w:rFonts w:ascii="Arial" w:hAnsi="Arial" w:cs="Arial"/>
          <w:b/>
          <w:i/>
          <w:noProof w:val="0"/>
          <w:lang w:val="en-GB"/>
        </w:rPr>
      </w:pPr>
      <w:r>
        <w:rPr>
          <w:rFonts w:ascii="Arial" w:eastAsia="Times New Roman" w:hAnsi="Arial" w:cs="Arial"/>
          <w:b/>
          <w:i/>
          <w:noProof w:val="0"/>
          <w:lang w:val="en-GB" w:eastAsia="en-GB"/>
        </w:rPr>
        <w:t>D</w:t>
      </w:r>
      <w:r w:rsidR="00744EB5" w:rsidRPr="00744EB5">
        <w:rPr>
          <w:rFonts w:ascii="Arial" w:eastAsia="Times New Roman" w:hAnsi="Arial" w:cs="Arial"/>
          <w:b/>
          <w:i/>
          <w:noProof w:val="0"/>
          <w:lang w:val="en-GB" w:eastAsia="en-GB"/>
        </w:rPr>
        <w:t>omestic</w:t>
      </w:r>
      <w:r>
        <w:rPr>
          <w:rFonts w:ascii="Arial" w:eastAsia="Times New Roman" w:hAnsi="Arial" w:cs="Arial"/>
          <w:b/>
          <w:i/>
          <w:noProof w:val="0"/>
          <w:lang w:val="en-GB" w:eastAsia="en-GB"/>
        </w:rPr>
        <w:t>ally</w:t>
      </w:r>
      <w:r w:rsidR="00744EB5" w:rsidRPr="00744EB5">
        <w:rPr>
          <w:rFonts w:ascii="Arial" w:eastAsia="Times New Roman" w:hAnsi="Arial" w:cs="Arial"/>
          <w:b/>
          <w:i/>
          <w:noProof w:val="0"/>
          <w:lang w:val="en-GB" w:eastAsia="en-GB"/>
        </w:rPr>
        <w:t xml:space="preserve">, </w:t>
      </w:r>
      <w:r>
        <w:rPr>
          <w:rFonts w:ascii="Arial" w:eastAsia="Times New Roman" w:hAnsi="Arial" w:cs="Arial"/>
          <w:b/>
          <w:i/>
          <w:noProof w:val="0"/>
          <w:lang w:val="en-GB" w:eastAsia="en-GB"/>
        </w:rPr>
        <w:t xml:space="preserve">the </w:t>
      </w:r>
      <w:r w:rsidR="000F1FD4">
        <w:rPr>
          <w:rFonts w:ascii="Arial" w:eastAsia="Times New Roman" w:hAnsi="Arial" w:cs="Arial"/>
          <w:b/>
          <w:i/>
          <w:noProof w:val="0"/>
          <w:lang w:val="en-GB" w:eastAsia="en-GB"/>
        </w:rPr>
        <w:t>highly visible</w:t>
      </w:r>
      <w:r>
        <w:rPr>
          <w:rFonts w:ascii="Arial" w:eastAsia="Times New Roman" w:hAnsi="Arial" w:cs="Arial"/>
          <w:b/>
          <w:i/>
          <w:noProof w:val="0"/>
          <w:lang w:val="en-GB" w:eastAsia="en-GB"/>
        </w:rPr>
        <w:t xml:space="preserve"> rapprochement (with a much-publicised visit by President Erdogan last February) serves to provide an image booster for the President, while potential investments from the UAE Wealth Fund may supply much-needed financial support to TR’s weak economy</w:t>
      </w:r>
      <w:r w:rsidR="00744EB5" w:rsidRPr="00744EB5">
        <w:rPr>
          <w:rFonts w:ascii="Arial" w:eastAsia="Times New Roman" w:hAnsi="Arial" w:cs="Arial"/>
          <w:b/>
          <w:i/>
          <w:noProof w:val="0"/>
          <w:lang w:val="en-GB" w:eastAsia="en-GB"/>
        </w:rPr>
        <w:t xml:space="preserve">. </w:t>
      </w:r>
    </w:p>
    <w:p w:rsidR="002F1820" w:rsidRDefault="002F1820" w:rsidP="00663D7E">
      <w:pPr>
        <w:spacing w:after="120" w:line="240" w:lineRule="auto"/>
        <w:jc w:val="both"/>
        <w:rPr>
          <w:rFonts w:ascii="Arial" w:eastAsia="Calibri" w:hAnsi="Arial" w:cs="Arial"/>
          <w:b/>
          <w:noProof w:val="0"/>
          <w:u w:val="single"/>
          <w:lang w:val="en-GB"/>
        </w:rPr>
      </w:pPr>
      <w:r w:rsidRPr="0056231E">
        <w:rPr>
          <w:rFonts w:ascii="Arial" w:eastAsia="Calibri" w:hAnsi="Arial" w:cs="Arial"/>
          <w:b/>
          <w:noProof w:val="0"/>
          <w:u w:val="single"/>
          <w:lang w:val="en-GB"/>
        </w:rPr>
        <w:t>Assessment</w:t>
      </w:r>
    </w:p>
    <w:p w:rsidR="00711CDE" w:rsidRDefault="00711CDE" w:rsidP="00744EB5">
      <w:pPr>
        <w:spacing w:after="120" w:line="240" w:lineRule="auto"/>
        <w:jc w:val="both"/>
        <w:rPr>
          <w:rFonts w:ascii="Arial" w:eastAsia="Times New Roman" w:hAnsi="Arial" w:cs="Arial"/>
          <w:noProof w:val="0"/>
          <w:lang w:val="en-GB" w:eastAsia="en-GB"/>
        </w:rPr>
      </w:pPr>
      <w:r>
        <w:rPr>
          <w:rFonts w:ascii="Arial" w:eastAsia="Times New Roman" w:hAnsi="Arial" w:cs="Arial"/>
          <w:noProof w:val="0"/>
          <w:lang w:val="en-GB" w:eastAsia="en-GB"/>
        </w:rPr>
        <w:t xml:space="preserve">After years of estrangement, mostly due to opposing views on the Muslim Brotherhood (which UAE saw as an existential threat, while TR considered it as the key to claim its leadership over the Muslim umma), TR and UAE came to more pragmatic approach, adapting to the shifting political and security environment in the region (US disengagement). </w:t>
      </w:r>
    </w:p>
    <w:p w:rsidR="00CC372E" w:rsidRDefault="00744EB5" w:rsidP="00744EB5">
      <w:pPr>
        <w:spacing w:after="120" w:line="240" w:lineRule="auto"/>
        <w:jc w:val="both"/>
        <w:rPr>
          <w:rFonts w:ascii="Arial" w:eastAsia="Times New Roman" w:hAnsi="Arial" w:cs="Arial"/>
          <w:noProof w:val="0"/>
          <w:lang w:val="en-GB" w:eastAsia="en-GB"/>
        </w:rPr>
      </w:pPr>
      <w:r w:rsidRPr="00744EB5">
        <w:rPr>
          <w:rFonts w:ascii="Arial" w:eastAsia="Times New Roman" w:hAnsi="Arial" w:cs="Arial"/>
          <w:noProof w:val="0"/>
          <w:lang w:val="en-GB" w:eastAsia="en-GB"/>
        </w:rPr>
        <w:t>UAE acknowledg</w:t>
      </w:r>
      <w:r w:rsidR="00711CDE">
        <w:rPr>
          <w:rFonts w:ascii="Arial" w:eastAsia="Times New Roman" w:hAnsi="Arial" w:cs="Arial"/>
          <w:noProof w:val="0"/>
          <w:lang w:val="en-GB" w:eastAsia="en-GB"/>
        </w:rPr>
        <w:t>es</w:t>
      </w:r>
      <w:r w:rsidRPr="00744EB5">
        <w:rPr>
          <w:rFonts w:ascii="Arial" w:eastAsia="Times New Roman" w:hAnsi="Arial" w:cs="Arial"/>
          <w:noProof w:val="0"/>
          <w:lang w:val="en-GB" w:eastAsia="en-GB"/>
        </w:rPr>
        <w:t xml:space="preserve"> TR’s </w:t>
      </w:r>
      <w:r w:rsidR="00711CDE">
        <w:rPr>
          <w:rFonts w:ascii="Arial" w:eastAsia="Times New Roman" w:hAnsi="Arial" w:cs="Arial"/>
          <w:noProof w:val="0"/>
          <w:lang w:val="en-GB" w:eastAsia="en-GB"/>
        </w:rPr>
        <w:t>important role</w:t>
      </w:r>
      <w:r w:rsidRPr="00744EB5">
        <w:rPr>
          <w:rFonts w:ascii="Arial" w:eastAsia="Times New Roman" w:hAnsi="Arial" w:cs="Arial"/>
          <w:noProof w:val="0"/>
          <w:lang w:val="en-GB" w:eastAsia="en-GB"/>
        </w:rPr>
        <w:t xml:space="preserve"> in the MENA region as well as its balancing games with RU and US. </w:t>
      </w:r>
      <w:r w:rsidR="00711CDE">
        <w:rPr>
          <w:rFonts w:ascii="Arial" w:eastAsia="Times New Roman" w:hAnsi="Arial" w:cs="Arial"/>
          <w:noProof w:val="0"/>
          <w:lang w:val="en-GB" w:eastAsia="en-GB"/>
        </w:rPr>
        <w:t xml:space="preserve">Similarly, TR came to acknowledge its own limitations and the cost of its isolation in the region, as even the GCC countries work to resolve their internal differences. </w:t>
      </w:r>
      <w:r w:rsidRPr="00744EB5">
        <w:rPr>
          <w:rFonts w:ascii="Arial" w:eastAsia="Times New Roman" w:hAnsi="Arial" w:cs="Arial"/>
          <w:noProof w:val="0"/>
          <w:lang w:val="en-GB" w:eastAsia="en-GB"/>
        </w:rPr>
        <w:t>Even if the geopolitical rivalry seems to be paused</w:t>
      </w:r>
      <w:r w:rsidR="00CC372E">
        <w:rPr>
          <w:rFonts w:ascii="Arial" w:eastAsia="Times New Roman" w:hAnsi="Arial" w:cs="Arial"/>
          <w:noProof w:val="0"/>
          <w:lang w:val="en-GB" w:eastAsia="en-GB"/>
        </w:rPr>
        <w:t xml:space="preserve"> and both countries are much less interested in military confrontation compared to 2019 and 2020</w:t>
      </w:r>
      <w:r w:rsidRPr="00744EB5">
        <w:rPr>
          <w:rFonts w:ascii="Arial" w:eastAsia="Times New Roman" w:hAnsi="Arial" w:cs="Arial"/>
          <w:noProof w:val="0"/>
          <w:lang w:val="en-GB" w:eastAsia="en-GB"/>
        </w:rPr>
        <w:t xml:space="preserve">, the threat of a potential crisis remains. </w:t>
      </w:r>
    </w:p>
    <w:p w:rsidR="00744EB5" w:rsidRPr="00744EB5" w:rsidRDefault="00CC372E">
      <w:pPr>
        <w:spacing w:after="120" w:line="240" w:lineRule="auto"/>
        <w:jc w:val="both"/>
        <w:rPr>
          <w:rFonts w:ascii="Arial" w:eastAsia="Times New Roman" w:hAnsi="Arial" w:cs="Arial"/>
          <w:noProof w:val="0"/>
          <w:lang w:val="en-GB" w:eastAsia="en-GB"/>
        </w:rPr>
      </w:pPr>
      <w:r>
        <w:rPr>
          <w:rFonts w:ascii="Arial" w:eastAsia="Times New Roman" w:hAnsi="Arial" w:cs="Arial"/>
          <w:noProof w:val="0"/>
          <w:lang w:val="en-GB" w:eastAsia="en-GB"/>
        </w:rPr>
        <w:t>With e</w:t>
      </w:r>
      <w:r w:rsidR="00744EB5" w:rsidRPr="00744EB5">
        <w:rPr>
          <w:rFonts w:ascii="Arial" w:eastAsia="Times New Roman" w:hAnsi="Arial" w:cs="Arial"/>
          <w:noProof w:val="0"/>
          <w:lang w:val="en-GB" w:eastAsia="en-GB"/>
        </w:rPr>
        <w:t xml:space="preserve">conomic relations between the two countries expected to strengthen, their geopolitical rivalry </w:t>
      </w:r>
      <w:r>
        <w:rPr>
          <w:rFonts w:ascii="Arial" w:eastAsia="Times New Roman" w:hAnsi="Arial" w:cs="Arial"/>
          <w:noProof w:val="0"/>
          <w:lang w:val="en-GB" w:eastAsia="en-GB"/>
        </w:rPr>
        <w:t>c</w:t>
      </w:r>
      <w:r w:rsidR="00744EB5" w:rsidRPr="00744EB5">
        <w:rPr>
          <w:rFonts w:ascii="Arial" w:eastAsia="Times New Roman" w:hAnsi="Arial" w:cs="Arial"/>
          <w:noProof w:val="0"/>
          <w:lang w:val="en-GB" w:eastAsia="en-GB"/>
        </w:rPr>
        <w:t xml:space="preserve">ould </w:t>
      </w:r>
      <w:r>
        <w:rPr>
          <w:rFonts w:ascii="Arial" w:eastAsia="Times New Roman" w:hAnsi="Arial" w:cs="Arial"/>
          <w:noProof w:val="0"/>
          <w:lang w:val="en-GB" w:eastAsia="en-GB"/>
        </w:rPr>
        <w:t>be handled with more caution and diplomacy</w:t>
      </w:r>
      <w:r w:rsidR="00744EB5" w:rsidRPr="00744EB5">
        <w:rPr>
          <w:rFonts w:ascii="Arial" w:eastAsia="Times New Roman" w:hAnsi="Arial" w:cs="Arial"/>
          <w:noProof w:val="0"/>
          <w:lang w:val="en-GB" w:eastAsia="en-GB"/>
        </w:rPr>
        <w:t xml:space="preserve">. The Mediterranean area and the maritime issues do remain a splinter in their relations, which could cause political tension between the two countries. Similarly, even though rivalry over </w:t>
      </w:r>
      <w:r>
        <w:rPr>
          <w:rFonts w:ascii="Arial" w:eastAsia="Times New Roman" w:hAnsi="Arial" w:cs="Arial"/>
          <w:noProof w:val="0"/>
          <w:lang w:val="en-GB" w:eastAsia="en-GB"/>
        </w:rPr>
        <w:t>political Islam</w:t>
      </w:r>
      <w:r w:rsidRPr="00744EB5">
        <w:rPr>
          <w:rFonts w:ascii="Arial" w:eastAsia="Times New Roman" w:hAnsi="Arial" w:cs="Arial"/>
          <w:noProof w:val="0"/>
          <w:lang w:val="en-GB" w:eastAsia="en-GB"/>
        </w:rPr>
        <w:t xml:space="preserve"> </w:t>
      </w:r>
      <w:r w:rsidR="00744EB5" w:rsidRPr="00744EB5">
        <w:rPr>
          <w:rFonts w:ascii="Arial" w:eastAsia="Times New Roman" w:hAnsi="Arial" w:cs="Arial"/>
          <w:noProof w:val="0"/>
          <w:lang w:val="en-GB" w:eastAsia="en-GB"/>
        </w:rPr>
        <w:t xml:space="preserve">seems reduced, </w:t>
      </w:r>
      <w:r>
        <w:rPr>
          <w:rFonts w:ascii="Arial" w:eastAsia="Times New Roman" w:hAnsi="Arial" w:cs="Arial"/>
          <w:noProof w:val="0"/>
          <w:lang w:val="en-GB" w:eastAsia="en-GB"/>
        </w:rPr>
        <w:t>a</w:t>
      </w:r>
      <w:r w:rsidR="00744EB5" w:rsidRPr="00744EB5">
        <w:rPr>
          <w:rFonts w:ascii="Arial" w:eastAsia="Times New Roman" w:hAnsi="Arial" w:cs="Arial"/>
          <w:noProof w:val="0"/>
          <w:lang w:val="en-GB" w:eastAsia="en-GB"/>
        </w:rPr>
        <w:t xml:space="preserve"> resurgence in the future </w:t>
      </w:r>
      <w:r>
        <w:rPr>
          <w:rFonts w:ascii="Arial" w:eastAsia="Times New Roman" w:hAnsi="Arial" w:cs="Arial"/>
          <w:noProof w:val="0"/>
          <w:lang w:val="en-GB" w:eastAsia="en-GB"/>
        </w:rPr>
        <w:t>cannot be excluded, especially if popular discontent over economic management re-emerge</w:t>
      </w:r>
      <w:r w:rsidR="00744EB5" w:rsidRPr="00744EB5">
        <w:rPr>
          <w:rFonts w:ascii="Arial" w:eastAsia="Times New Roman" w:hAnsi="Arial" w:cs="Arial"/>
          <w:noProof w:val="0"/>
          <w:lang w:val="en-GB" w:eastAsia="en-GB"/>
        </w:rPr>
        <w:t xml:space="preserve">. On the positive side, the two countries seem willing to cultivate approximate positions and avoid escalation. </w:t>
      </w:r>
    </w:p>
    <w:p w:rsidR="002F1820" w:rsidRDefault="002F1820" w:rsidP="00663D7E">
      <w:pPr>
        <w:tabs>
          <w:tab w:val="left" w:pos="567"/>
        </w:tabs>
        <w:spacing w:after="120" w:line="240" w:lineRule="auto"/>
        <w:jc w:val="both"/>
        <w:rPr>
          <w:rFonts w:ascii="Arial" w:eastAsia="Calibri" w:hAnsi="Arial" w:cs="Arial"/>
          <w:b/>
          <w:noProof w:val="0"/>
          <w:u w:val="single"/>
          <w:lang w:val="en-GB"/>
        </w:rPr>
      </w:pPr>
      <w:r w:rsidRPr="00663D7E">
        <w:rPr>
          <w:rFonts w:ascii="Arial" w:eastAsia="Calibri" w:hAnsi="Arial" w:cs="Arial"/>
          <w:b/>
          <w:noProof w:val="0"/>
          <w:u w:val="single"/>
          <w:lang w:val="en-GB"/>
        </w:rPr>
        <w:t>D</w:t>
      </w:r>
      <w:r w:rsidR="006A411C">
        <w:rPr>
          <w:rFonts w:ascii="Arial" w:eastAsia="Calibri" w:hAnsi="Arial" w:cs="Arial"/>
          <w:b/>
          <w:noProof w:val="0"/>
          <w:u w:val="single"/>
          <w:lang w:val="en-GB"/>
        </w:rPr>
        <w:t>etail</w:t>
      </w:r>
    </w:p>
    <w:p w:rsidR="00744EB5" w:rsidRPr="00744EB5" w:rsidRDefault="00744EB5" w:rsidP="00744EB5">
      <w:pPr>
        <w:pStyle w:val="NoSpacing"/>
        <w:numPr>
          <w:ilvl w:val="0"/>
          <w:numId w:val="15"/>
        </w:numPr>
        <w:spacing w:after="120"/>
        <w:jc w:val="both"/>
        <w:rPr>
          <w:rFonts w:ascii="Arial" w:hAnsi="Arial" w:cs="Arial"/>
          <w:sz w:val="24"/>
          <w:szCs w:val="24"/>
          <w:lang w:val="en-GB" w:eastAsia="en-GB"/>
        </w:rPr>
      </w:pPr>
      <w:r w:rsidRPr="00744EB5">
        <w:rPr>
          <w:rFonts w:ascii="Arial" w:hAnsi="Arial" w:cs="Arial"/>
          <w:lang w:val="en-GB" w:eastAsia="en-GB"/>
        </w:rPr>
        <w:t xml:space="preserve">The TR-UAE rapprochement efforts have been driven primarily by pragmatism, identifying common grounds of understanding mainly on the geo-economic sphere. TR is in need of foreign investment and UAE is looking to diversify its economic </w:t>
      </w:r>
      <w:r w:rsidR="00CC372E">
        <w:rPr>
          <w:rFonts w:ascii="Arial" w:hAnsi="Arial" w:cs="Arial"/>
          <w:lang w:val="en-GB" w:eastAsia="en-GB"/>
        </w:rPr>
        <w:t>outreach</w:t>
      </w:r>
      <w:r w:rsidRPr="00744EB5">
        <w:rPr>
          <w:rFonts w:ascii="Arial" w:hAnsi="Arial" w:cs="Arial"/>
          <w:lang w:val="en-GB" w:eastAsia="en-GB"/>
        </w:rPr>
        <w:t xml:space="preserve">. In addition, both </w:t>
      </w:r>
      <w:r w:rsidRPr="00744EB5">
        <w:rPr>
          <w:rFonts w:ascii="Arial" w:hAnsi="Arial" w:cs="Arial"/>
          <w:lang w:val="en-GB" w:eastAsia="en-GB"/>
        </w:rPr>
        <w:lastRenderedPageBreak/>
        <w:t>countries share an interest in developing collaboration in business, energy, transportation, environment, and health and delivery services.</w:t>
      </w:r>
      <w:r w:rsidRPr="00744EB5">
        <w:rPr>
          <w:rFonts w:ascii="Arial" w:hAnsi="Arial" w:cs="Arial"/>
          <w:sz w:val="24"/>
          <w:szCs w:val="24"/>
          <w:lang w:val="en-GB" w:eastAsia="en-GB"/>
        </w:rPr>
        <w:t xml:space="preserve"> </w:t>
      </w:r>
    </w:p>
    <w:p w:rsidR="00744EB5" w:rsidRPr="00744EB5" w:rsidRDefault="00744EB5" w:rsidP="00744EB5">
      <w:pPr>
        <w:pStyle w:val="NoSpacing"/>
        <w:numPr>
          <w:ilvl w:val="0"/>
          <w:numId w:val="15"/>
        </w:numPr>
        <w:spacing w:after="120"/>
        <w:jc w:val="both"/>
        <w:rPr>
          <w:rFonts w:ascii="Arial" w:hAnsi="Arial" w:cs="Arial"/>
          <w:lang w:val="en-GB"/>
        </w:rPr>
      </w:pPr>
      <w:r w:rsidRPr="00744EB5">
        <w:rPr>
          <w:rFonts w:ascii="Arial" w:hAnsi="Arial" w:cs="Arial"/>
          <w:lang w:val="en-GB"/>
        </w:rPr>
        <w:t xml:space="preserve">Apart from the economic factor, </w:t>
      </w:r>
      <w:r w:rsidR="004339FB">
        <w:rPr>
          <w:rFonts w:ascii="Arial" w:hAnsi="Arial" w:cs="Arial"/>
          <w:lang w:val="en-GB"/>
        </w:rPr>
        <w:t>g</w:t>
      </w:r>
      <w:r w:rsidRPr="00744EB5">
        <w:rPr>
          <w:rFonts w:ascii="Arial" w:hAnsi="Arial" w:cs="Arial"/>
          <w:lang w:val="en-GB"/>
        </w:rPr>
        <w:t xml:space="preserve">eopolitical changes </w:t>
      </w:r>
      <w:r w:rsidR="004339FB">
        <w:rPr>
          <w:rFonts w:ascii="Arial" w:hAnsi="Arial" w:cs="Arial"/>
          <w:lang w:val="en-GB"/>
        </w:rPr>
        <w:t xml:space="preserve">are driving the rapprochement: </w:t>
      </w:r>
      <w:r w:rsidRPr="00744EB5">
        <w:rPr>
          <w:rFonts w:ascii="Arial" w:hAnsi="Arial" w:cs="Arial"/>
          <w:lang w:val="en-GB"/>
        </w:rPr>
        <w:t xml:space="preserve">the post pandemic recovery, the adaptation to </w:t>
      </w:r>
      <w:r w:rsidR="004339FB">
        <w:rPr>
          <w:rFonts w:ascii="Arial" w:hAnsi="Arial" w:cs="Arial"/>
          <w:lang w:val="en-GB"/>
        </w:rPr>
        <w:t>the</w:t>
      </w:r>
      <w:r w:rsidRPr="00744EB5">
        <w:rPr>
          <w:rFonts w:ascii="Arial" w:hAnsi="Arial" w:cs="Arial"/>
          <w:lang w:val="en-GB"/>
        </w:rPr>
        <w:t xml:space="preserve"> new security environment in the Middle East </w:t>
      </w:r>
      <w:r w:rsidR="004339FB">
        <w:rPr>
          <w:rFonts w:ascii="Arial" w:hAnsi="Arial" w:cs="Arial"/>
          <w:lang w:val="en-GB"/>
        </w:rPr>
        <w:t>emerging from the new</w:t>
      </w:r>
      <w:r w:rsidRPr="00744EB5">
        <w:rPr>
          <w:rFonts w:ascii="Arial" w:hAnsi="Arial" w:cs="Arial"/>
          <w:lang w:val="en-GB"/>
        </w:rPr>
        <w:t xml:space="preserve"> US approach towards the region</w:t>
      </w:r>
      <w:r w:rsidR="004339FB">
        <w:rPr>
          <w:rFonts w:ascii="Arial" w:hAnsi="Arial" w:cs="Arial"/>
          <w:lang w:val="en-GB"/>
        </w:rPr>
        <w:t>,</w:t>
      </w:r>
      <w:r w:rsidRPr="00744EB5">
        <w:rPr>
          <w:rFonts w:ascii="Arial" w:hAnsi="Arial" w:cs="Arial"/>
          <w:lang w:val="en-GB"/>
        </w:rPr>
        <w:t xml:space="preserve"> the nuclear talks with Iran, China’s growing international role. </w:t>
      </w:r>
    </w:p>
    <w:p w:rsidR="00744EB5" w:rsidRPr="00744EB5" w:rsidRDefault="00744EB5" w:rsidP="00744EB5">
      <w:pPr>
        <w:pStyle w:val="NoSpacing"/>
        <w:numPr>
          <w:ilvl w:val="0"/>
          <w:numId w:val="15"/>
        </w:numPr>
        <w:spacing w:after="120"/>
        <w:jc w:val="both"/>
        <w:rPr>
          <w:rFonts w:ascii="Arial" w:hAnsi="Arial" w:cs="Arial"/>
          <w:lang w:val="en-GB"/>
        </w:rPr>
      </w:pPr>
      <w:r w:rsidRPr="00744EB5">
        <w:rPr>
          <w:rFonts w:ascii="Arial" w:hAnsi="Arial" w:cs="Arial"/>
          <w:lang w:val="en-GB" w:eastAsia="en-GB"/>
        </w:rPr>
        <w:t xml:space="preserve">TR looks less threatening than previously over the regime legitimacy and stability of the </w:t>
      </w:r>
      <w:r w:rsidR="004339FB">
        <w:rPr>
          <w:rFonts w:ascii="Arial" w:hAnsi="Arial" w:cs="Arial"/>
          <w:lang w:val="en-GB" w:eastAsia="en-GB"/>
        </w:rPr>
        <w:t>GCC countries</w:t>
      </w:r>
      <w:r w:rsidRPr="00744EB5">
        <w:rPr>
          <w:rFonts w:ascii="Arial" w:hAnsi="Arial" w:cs="Arial"/>
          <w:lang w:val="en-GB" w:eastAsia="en-GB"/>
        </w:rPr>
        <w:t xml:space="preserve">. One of the main </w:t>
      </w:r>
      <w:r w:rsidR="004339FB">
        <w:rPr>
          <w:rFonts w:ascii="Arial" w:hAnsi="Arial" w:cs="Arial"/>
          <w:lang w:val="en-GB" w:eastAsia="en-GB"/>
        </w:rPr>
        <w:t>differences</w:t>
      </w:r>
      <w:r w:rsidR="004339FB" w:rsidRPr="00744EB5">
        <w:rPr>
          <w:rFonts w:ascii="Arial" w:hAnsi="Arial" w:cs="Arial"/>
          <w:lang w:val="en-GB" w:eastAsia="en-GB"/>
        </w:rPr>
        <w:t xml:space="preserve"> </w:t>
      </w:r>
      <w:r w:rsidRPr="00744EB5">
        <w:rPr>
          <w:rFonts w:ascii="Arial" w:hAnsi="Arial" w:cs="Arial"/>
          <w:lang w:val="en-GB" w:eastAsia="en-GB"/>
        </w:rPr>
        <w:t>between TR and UAE was TR</w:t>
      </w:r>
      <w:r w:rsidR="004339FB">
        <w:rPr>
          <w:rFonts w:ascii="Arial" w:hAnsi="Arial" w:cs="Arial"/>
          <w:lang w:val="en-GB" w:eastAsia="en-GB"/>
        </w:rPr>
        <w:t xml:space="preserve"> (and </w:t>
      </w:r>
      <w:r w:rsidRPr="00744EB5">
        <w:rPr>
          <w:rFonts w:ascii="Arial" w:hAnsi="Arial" w:cs="Arial"/>
          <w:lang w:val="en-GB" w:eastAsia="en-GB"/>
        </w:rPr>
        <w:t>QAT support</w:t>
      </w:r>
      <w:r w:rsidR="004339FB">
        <w:rPr>
          <w:rFonts w:ascii="Arial" w:hAnsi="Arial" w:cs="Arial"/>
          <w:lang w:val="en-GB" w:eastAsia="en-GB"/>
        </w:rPr>
        <w:t>)</w:t>
      </w:r>
      <w:r w:rsidRPr="00744EB5">
        <w:rPr>
          <w:rFonts w:ascii="Arial" w:hAnsi="Arial" w:cs="Arial"/>
          <w:lang w:val="en-GB" w:eastAsia="en-GB"/>
        </w:rPr>
        <w:t xml:space="preserve"> to </w:t>
      </w:r>
      <w:r w:rsidR="004339FB">
        <w:rPr>
          <w:rFonts w:ascii="Arial" w:hAnsi="Arial" w:cs="Arial"/>
          <w:lang w:val="en-GB" w:eastAsia="en-GB"/>
        </w:rPr>
        <w:t xml:space="preserve">the </w:t>
      </w:r>
      <w:r w:rsidRPr="00744EB5">
        <w:rPr>
          <w:rFonts w:ascii="Arial" w:hAnsi="Arial" w:cs="Arial"/>
          <w:lang w:val="en-GB" w:eastAsia="en-GB"/>
        </w:rPr>
        <w:t xml:space="preserve">Muslim </w:t>
      </w:r>
      <w:r w:rsidR="004339FB">
        <w:rPr>
          <w:rFonts w:ascii="Arial" w:hAnsi="Arial" w:cs="Arial"/>
          <w:lang w:val="en-GB" w:eastAsia="en-GB"/>
        </w:rPr>
        <w:t>B</w:t>
      </w:r>
      <w:r w:rsidRPr="00744EB5">
        <w:rPr>
          <w:rFonts w:ascii="Arial" w:hAnsi="Arial" w:cs="Arial"/>
          <w:lang w:val="en-GB" w:eastAsia="en-GB"/>
        </w:rPr>
        <w:t>rotherhood</w:t>
      </w:r>
      <w:r w:rsidR="004339FB">
        <w:rPr>
          <w:rFonts w:ascii="Arial" w:hAnsi="Arial" w:cs="Arial"/>
          <w:lang w:val="en-GB" w:eastAsia="en-GB"/>
        </w:rPr>
        <w:t>,</w:t>
      </w:r>
      <w:r w:rsidRPr="00744EB5">
        <w:rPr>
          <w:rFonts w:ascii="Arial" w:hAnsi="Arial" w:cs="Arial"/>
          <w:lang w:val="en-GB" w:eastAsia="en-GB"/>
        </w:rPr>
        <w:t xml:space="preserve"> which </w:t>
      </w:r>
      <w:r w:rsidR="004339FB">
        <w:rPr>
          <w:rFonts w:ascii="Arial" w:hAnsi="Arial" w:cs="Arial"/>
          <w:lang w:val="en-GB" w:eastAsia="en-GB"/>
        </w:rPr>
        <w:t>less threatening</w:t>
      </w:r>
      <w:r w:rsidRPr="00744EB5">
        <w:rPr>
          <w:rFonts w:ascii="Arial" w:hAnsi="Arial" w:cs="Arial"/>
          <w:lang w:val="en-GB" w:eastAsia="en-GB"/>
        </w:rPr>
        <w:t xml:space="preserve"> following the developments in </w:t>
      </w:r>
      <w:r w:rsidR="004339FB">
        <w:rPr>
          <w:rFonts w:ascii="Arial" w:hAnsi="Arial" w:cs="Arial"/>
          <w:lang w:val="en-GB" w:eastAsia="en-GB"/>
        </w:rPr>
        <w:t xml:space="preserve">Egypt, </w:t>
      </w:r>
      <w:r w:rsidRPr="00744EB5">
        <w:rPr>
          <w:rFonts w:ascii="Arial" w:hAnsi="Arial" w:cs="Arial"/>
          <w:lang w:val="en-GB" w:eastAsia="en-GB"/>
        </w:rPr>
        <w:t xml:space="preserve">Tunisia and Libya. </w:t>
      </w:r>
    </w:p>
    <w:p w:rsidR="00744EB5" w:rsidRPr="00744EB5" w:rsidRDefault="004339FB" w:rsidP="00744EB5">
      <w:pPr>
        <w:pStyle w:val="NoSpacing"/>
        <w:numPr>
          <w:ilvl w:val="0"/>
          <w:numId w:val="15"/>
        </w:numPr>
        <w:spacing w:after="120"/>
        <w:jc w:val="both"/>
        <w:rPr>
          <w:rFonts w:ascii="Arial" w:hAnsi="Arial" w:cs="Arial"/>
          <w:lang w:val="en-GB"/>
        </w:rPr>
      </w:pPr>
      <w:r>
        <w:rPr>
          <w:rFonts w:ascii="Arial" w:hAnsi="Arial" w:cs="Arial"/>
          <w:lang w:val="en-GB"/>
        </w:rPr>
        <w:t>IL</w:t>
      </w:r>
      <w:r w:rsidR="00744EB5" w:rsidRPr="00744EB5">
        <w:rPr>
          <w:rFonts w:ascii="Arial" w:hAnsi="Arial" w:cs="Arial"/>
          <w:lang w:val="en-GB"/>
        </w:rPr>
        <w:t xml:space="preserve"> President Herzog </w:t>
      </w:r>
      <w:r>
        <w:rPr>
          <w:rFonts w:ascii="Arial" w:hAnsi="Arial" w:cs="Arial"/>
          <w:lang w:val="en-GB"/>
        </w:rPr>
        <w:t xml:space="preserve">recent visit </w:t>
      </w:r>
      <w:r w:rsidR="00744EB5" w:rsidRPr="00744EB5">
        <w:rPr>
          <w:rFonts w:ascii="Arial" w:hAnsi="Arial" w:cs="Arial"/>
          <w:lang w:val="en-GB"/>
        </w:rPr>
        <w:t xml:space="preserve">to TR </w:t>
      </w:r>
      <w:r>
        <w:rPr>
          <w:rFonts w:ascii="Arial" w:hAnsi="Arial" w:cs="Arial"/>
          <w:lang w:val="en-GB"/>
        </w:rPr>
        <w:t>also re-assures</w:t>
      </w:r>
      <w:r w:rsidR="00744EB5" w:rsidRPr="00744EB5">
        <w:rPr>
          <w:rFonts w:ascii="Arial" w:hAnsi="Arial" w:cs="Arial"/>
          <w:lang w:val="en-GB"/>
        </w:rPr>
        <w:t xml:space="preserve"> UAE</w:t>
      </w:r>
      <w:r>
        <w:rPr>
          <w:rFonts w:ascii="Arial" w:hAnsi="Arial" w:cs="Arial"/>
          <w:lang w:val="en-GB"/>
        </w:rPr>
        <w:t>,</w:t>
      </w:r>
      <w:r w:rsidR="00744EB5" w:rsidRPr="00744EB5">
        <w:rPr>
          <w:rFonts w:ascii="Arial" w:hAnsi="Arial" w:cs="Arial"/>
          <w:lang w:val="en-GB"/>
        </w:rPr>
        <w:t xml:space="preserve"> who normalised its relations with IL in 2020. To be noted that Erdogan’s visit to UAE coincided with Herzog’s visit to Bahrain. Irrespective of the progress of the rapprochement efforts with IL, TR’s support to Hamas could be expected to be reduced, although TR does </w:t>
      </w:r>
      <w:r>
        <w:rPr>
          <w:rFonts w:ascii="Arial" w:hAnsi="Arial" w:cs="Arial"/>
          <w:lang w:val="en-GB"/>
        </w:rPr>
        <w:t xml:space="preserve">not </w:t>
      </w:r>
      <w:r w:rsidR="00744EB5" w:rsidRPr="00744EB5">
        <w:rPr>
          <w:rFonts w:ascii="Arial" w:hAnsi="Arial" w:cs="Arial"/>
          <w:lang w:val="en-GB"/>
        </w:rPr>
        <w:t xml:space="preserve">seem ready to completely give up on Palestine. </w:t>
      </w:r>
    </w:p>
    <w:p w:rsidR="00744EB5" w:rsidRPr="00744EB5" w:rsidRDefault="00744EB5" w:rsidP="00744EB5">
      <w:pPr>
        <w:pStyle w:val="NoSpacing"/>
        <w:numPr>
          <w:ilvl w:val="0"/>
          <w:numId w:val="15"/>
        </w:numPr>
        <w:spacing w:after="120"/>
        <w:jc w:val="both"/>
        <w:rPr>
          <w:rFonts w:ascii="Arial" w:hAnsi="Arial" w:cs="Arial"/>
          <w:lang w:val="en-GB" w:eastAsia="en-GB"/>
        </w:rPr>
      </w:pPr>
      <w:r w:rsidRPr="00744EB5">
        <w:rPr>
          <w:rFonts w:ascii="Arial" w:hAnsi="Arial" w:cs="Arial"/>
          <w:lang w:val="en-GB" w:eastAsia="en-GB"/>
        </w:rPr>
        <w:t xml:space="preserve">Iran currently presents a common ground for TR and UAE to join forces and counter its influence in the region. The uncertainty on Iran’s nuclear development progress, the recent drone and missile attacks on UAE and the competition from Caucasus to Syria provide enough elements to pave the rapprochement. </w:t>
      </w:r>
      <w:r w:rsidRPr="00744EB5">
        <w:rPr>
          <w:rFonts w:ascii="Arial" w:hAnsi="Arial" w:cs="Arial"/>
          <w:lang w:val="en-GB"/>
        </w:rPr>
        <w:t>UAE wants to become less dependent on the Suez Canal and establish a trade land route via TR and IR</w:t>
      </w:r>
      <w:r w:rsidR="004339FB">
        <w:rPr>
          <w:rFonts w:ascii="Arial" w:hAnsi="Arial" w:cs="Arial"/>
          <w:lang w:val="en-GB"/>
        </w:rPr>
        <w:t>N</w:t>
      </w:r>
      <w:r w:rsidRPr="00744EB5">
        <w:rPr>
          <w:rFonts w:ascii="Arial" w:hAnsi="Arial" w:cs="Arial"/>
          <w:lang w:val="en-GB"/>
        </w:rPr>
        <w:t>, which would reduce costs and transportation time to 6-8 days from current 18-20 days. This would be an economic advantage for both countries. Last November IR</w:t>
      </w:r>
      <w:r w:rsidR="004339FB">
        <w:rPr>
          <w:rFonts w:ascii="Arial" w:hAnsi="Arial" w:cs="Arial"/>
          <w:lang w:val="en-GB"/>
        </w:rPr>
        <w:t>N</w:t>
      </w:r>
      <w:r w:rsidRPr="00744EB5">
        <w:rPr>
          <w:rFonts w:ascii="Arial" w:hAnsi="Arial" w:cs="Arial"/>
          <w:lang w:val="en-GB"/>
        </w:rPr>
        <w:t xml:space="preserve"> has transported a shipment along this route. </w:t>
      </w:r>
      <w:r w:rsidRPr="00744EB5">
        <w:rPr>
          <w:rFonts w:ascii="Arial" w:hAnsi="Arial" w:cs="Arial"/>
          <w:lang w:val="en-GB" w:eastAsia="en-GB"/>
        </w:rPr>
        <w:t xml:space="preserve">For UAE and TR having each other as a trusted </w:t>
      </w:r>
      <w:r w:rsidR="004339FB">
        <w:rPr>
          <w:rFonts w:ascii="Arial" w:hAnsi="Arial" w:cs="Arial"/>
          <w:lang w:val="en-GB" w:eastAsia="en-GB"/>
        </w:rPr>
        <w:t>parthen in dealing with</w:t>
      </w:r>
      <w:r w:rsidRPr="00744EB5">
        <w:rPr>
          <w:rFonts w:ascii="Arial" w:hAnsi="Arial" w:cs="Arial"/>
          <w:lang w:val="en-GB" w:eastAsia="en-GB"/>
        </w:rPr>
        <w:t xml:space="preserve"> </w:t>
      </w:r>
      <w:r w:rsidR="004339FB">
        <w:rPr>
          <w:rFonts w:ascii="Arial" w:hAnsi="Arial" w:cs="Arial"/>
          <w:lang w:val="en-GB" w:eastAsia="en-GB"/>
        </w:rPr>
        <w:t>IRN</w:t>
      </w:r>
      <w:r w:rsidR="004339FB" w:rsidRPr="00744EB5">
        <w:rPr>
          <w:rFonts w:ascii="Arial" w:hAnsi="Arial" w:cs="Arial"/>
          <w:lang w:val="en-GB" w:eastAsia="en-GB"/>
        </w:rPr>
        <w:t xml:space="preserve"> </w:t>
      </w:r>
      <w:r w:rsidRPr="00744EB5">
        <w:rPr>
          <w:rFonts w:ascii="Arial" w:hAnsi="Arial" w:cs="Arial"/>
          <w:lang w:val="en-GB" w:eastAsia="en-GB"/>
        </w:rPr>
        <w:t>would be beneficial.</w:t>
      </w:r>
    </w:p>
    <w:p w:rsidR="00744EB5" w:rsidRPr="00744EB5" w:rsidRDefault="00744EB5" w:rsidP="00744EB5">
      <w:pPr>
        <w:pStyle w:val="NoSpacing"/>
        <w:numPr>
          <w:ilvl w:val="0"/>
          <w:numId w:val="15"/>
        </w:numPr>
        <w:spacing w:after="120"/>
        <w:jc w:val="both"/>
        <w:rPr>
          <w:rFonts w:ascii="Arial" w:hAnsi="Arial" w:cs="Arial"/>
          <w:lang w:val="en-GB"/>
        </w:rPr>
      </w:pPr>
      <w:r w:rsidRPr="00744EB5">
        <w:rPr>
          <w:rFonts w:ascii="Arial" w:hAnsi="Arial" w:cs="Arial"/>
          <w:lang w:val="en-GB"/>
        </w:rPr>
        <w:t xml:space="preserve">The Mediterranean could remain an area of geopolitical </w:t>
      </w:r>
      <w:r w:rsidR="004339FB">
        <w:rPr>
          <w:rFonts w:ascii="Arial" w:hAnsi="Arial" w:cs="Arial"/>
          <w:lang w:val="en-GB"/>
        </w:rPr>
        <w:t>tensions</w:t>
      </w:r>
      <w:r w:rsidR="004339FB" w:rsidRPr="00744EB5">
        <w:rPr>
          <w:rFonts w:ascii="Arial" w:hAnsi="Arial" w:cs="Arial"/>
          <w:lang w:val="en-GB"/>
        </w:rPr>
        <w:t xml:space="preserve"> </w:t>
      </w:r>
      <w:r w:rsidRPr="00744EB5">
        <w:rPr>
          <w:rFonts w:ascii="Arial" w:hAnsi="Arial" w:cs="Arial"/>
          <w:lang w:val="en-GB"/>
        </w:rPr>
        <w:t xml:space="preserve">between the two countries. One of UAE’s visions is to become a “global maritime player”, in which is heavily investing. TR on the other side seeks allies to strengthen its position for the gas exploration in East Med. UAE’s Dubai Port World (DP world) is a global leader in port management and infrastructure development. Although a private company, its deals often overlap with UAE’s foreign policy trengthening its political ties. DP World has </w:t>
      </w:r>
      <w:r w:rsidR="00643FFD">
        <w:rPr>
          <w:rFonts w:ascii="Arial" w:hAnsi="Arial" w:cs="Arial"/>
          <w:lang w:val="en-GB"/>
        </w:rPr>
        <w:t xml:space="preserve">reportedly </w:t>
      </w:r>
      <w:r w:rsidRPr="00744EB5">
        <w:rPr>
          <w:rFonts w:ascii="Arial" w:hAnsi="Arial" w:cs="Arial"/>
          <w:lang w:val="en-GB"/>
        </w:rPr>
        <w:t xml:space="preserve">succeeded in </w:t>
      </w:r>
      <w:r w:rsidR="00643FFD">
        <w:rPr>
          <w:rFonts w:ascii="Arial" w:hAnsi="Arial" w:cs="Arial"/>
          <w:lang w:val="en-GB"/>
        </w:rPr>
        <w:t>hatling</w:t>
      </w:r>
      <w:r w:rsidRPr="00744EB5">
        <w:rPr>
          <w:rFonts w:ascii="Arial" w:hAnsi="Arial" w:cs="Arial"/>
          <w:lang w:val="en-GB"/>
        </w:rPr>
        <w:t xml:space="preserve"> TR’s negotiations with Sudan on the development and operation of the port on Suakin Island in the Red Sea. </w:t>
      </w:r>
    </w:p>
    <w:p w:rsidR="00744EB5" w:rsidRPr="00744EB5" w:rsidRDefault="00744EB5" w:rsidP="00744EB5">
      <w:pPr>
        <w:pStyle w:val="NoSpacing"/>
        <w:numPr>
          <w:ilvl w:val="0"/>
          <w:numId w:val="15"/>
        </w:numPr>
        <w:spacing w:after="120"/>
        <w:jc w:val="both"/>
        <w:rPr>
          <w:rFonts w:ascii="Arial" w:hAnsi="Arial" w:cs="Arial"/>
          <w:lang w:val="en-GB"/>
        </w:rPr>
      </w:pPr>
      <w:r w:rsidRPr="00744EB5">
        <w:rPr>
          <w:rFonts w:ascii="Arial" w:hAnsi="Arial" w:cs="Arial"/>
          <w:lang w:val="en-GB"/>
        </w:rPr>
        <w:t xml:space="preserve">Interestingly, in the recent Ethiopian conflict, TR and UAE both supported Ethiopian’s government. UAE’s intervention aligned with “its strategy in building an allied political and security system across the Red Sea and the Horn of Africa”. TR wanted to prevent a civil war in Ethiopia in order to protect its investments in the country and ensure that the conflict would not spread into Somalia and affect its most important “centre of influence” in Africa. The reconstruction of infrastructure in the destroyed areas provides a big potential for synergies between the two countries with TR construction companies and UAE’s funds. </w:t>
      </w:r>
    </w:p>
    <w:p w:rsidR="00744EB5" w:rsidRPr="00744EB5" w:rsidRDefault="00744EB5" w:rsidP="00744EB5">
      <w:pPr>
        <w:pStyle w:val="NoSpacing"/>
        <w:numPr>
          <w:ilvl w:val="0"/>
          <w:numId w:val="15"/>
        </w:numPr>
        <w:spacing w:after="120"/>
        <w:jc w:val="both"/>
        <w:rPr>
          <w:rFonts w:ascii="Arial" w:hAnsi="Arial" w:cs="Arial"/>
          <w:lang w:val="en-GB" w:eastAsia="en-GB"/>
        </w:rPr>
      </w:pPr>
      <w:r w:rsidRPr="00744EB5">
        <w:rPr>
          <w:rFonts w:ascii="Arial" w:hAnsi="Arial" w:cs="Arial"/>
          <w:lang w:val="en-GB" w:eastAsia="en-GB"/>
        </w:rPr>
        <w:t xml:space="preserve">On the domestic sphere, </w:t>
      </w:r>
      <w:r w:rsidR="00643FFD">
        <w:rPr>
          <w:rFonts w:ascii="Arial" w:hAnsi="Arial" w:cs="Arial"/>
          <w:lang w:val="en-GB" w:eastAsia="en-GB"/>
        </w:rPr>
        <w:t>the Government’s</w:t>
      </w:r>
      <w:r w:rsidR="00643FFD" w:rsidRPr="00744EB5">
        <w:rPr>
          <w:rFonts w:ascii="Arial" w:hAnsi="Arial" w:cs="Arial"/>
          <w:lang w:val="en-GB" w:eastAsia="en-GB"/>
        </w:rPr>
        <w:t xml:space="preserve"> </w:t>
      </w:r>
      <w:r w:rsidRPr="00744EB5">
        <w:rPr>
          <w:rFonts w:ascii="Arial" w:hAnsi="Arial" w:cs="Arial"/>
          <w:lang w:val="en-GB" w:eastAsia="en-GB"/>
        </w:rPr>
        <w:t xml:space="preserve">primary objective </w:t>
      </w:r>
      <w:r w:rsidR="00643FFD">
        <w:rPr>
          <w:rFonts w:ascii="Arial" w:hAnsi="Arial" w:cs="Arial"/>
          <w:lang w:val="en-GB" w:eastAsia="en-GB"/>
        </w:rPr>
        <w:t>from the regional normalisation is to project a new image of regional responsbile power and to reeduce the economic costs of politial isolation, as the country heads to elections in 2023 (at latest)</w:t>
      </w:r>
      <w:r w:rsidRPr="00744EB5">
        <w:rPr>
          <w:rFonts w:ascii="Arial" w:hAnsi="Arial" w:cs="Arial"/>
          <w:lang w:val="en-GB" w:eastAsia="en-GB"/>
        </w:rPr>
        <w:t xml:space="preserve">. </w:t>
      </w:r>
      <w:r w:rsidR="00643FFD">
        <w:rPr>
          <w:rFonts w:ascii="Arial" w:hAnsi="Arial" w:cs="Arial"/>
          <w:lang w:val="en-GB" w:eastAsia="en-GB"/>
        </w:rPr>
        <w:t>UAE</w:t>
      </w:r>
      <w:r w:rsidRPr="00744EB5">
        <w:rPr>
          <w:rFonts w:ascii="Arial" w:hAnsi="Arial" w:cs="Arial"/>
          <w:lang w:val="en-GB" w:eastAsia="en-GB"/>
        </w:rPr>
        <w:t xml:space="preserve"> have the money to provide </w:t>
      </w:r>
      <w:r w:rsidR="00643FFD">
        <w:rPr>
          <w:rFonts w:ascii="Arial" w:hAnsi="Arial" w:cs="Arial"/>
          <w:lang w:val="en-GB" w:eastAsia="en-GB"/>
        </w:rPr>
        <w:t xml:space="preserve">a </w:t>
      </w:r>
      <w:r w:rsidRPr="00744EB5">
        <w:rPr>
          <w:rFonts w:ascii="Arial" w:hAnsi="Arial" w:cs="Arial"/>
          <w:lang w:val="en-GB" w:eastAsia="en-GB"/>
        </w:rPr>
        <w:t xml:space="preserve">“booster shot” in </w:t>
      </w:r>
      <w:r w:rsidR="00643FFD">
        <w:rPr>
          <w:rFonts w:ascii="Arial" w:hAnsi="Arial" w:cs="Arial"/>
          <w:lang w:val="en-GB" w:eastAsia="en-GB"/>
        </w:rPr>
        <w:t xml:space="preserve">the </w:t>
      </w:r>
      <w:r w:rsidRPr="00744EB5">
        <w:rPr>
          <w:rFonts w:ascii="Arial" w:hAnsi="Arial" w:cs="Arial"/>
          <w:lang w:val="en-GB" w:eastAsia="en-GB"/>
        </w:rPr>
        <w:t>Turkish economy.</w:t>
      </w:r>
      <w:r w:rsidRPr="00744EB5">
        <w:rPr>
          <w:rFonts w:ascii="Arial" w:hAnsi="Arial" w:cs="Arial"/>
          <w:lang w:val="en-GB"/>
        </w:rPr>
        <w:t xml:space="preserve"> The two countries are complimentary to each other</w:t>
      </w:r>
      <w:r w:rsidR="00643FFD">
        <w:rPr>
          <w:rFonts w:ascii="Arial" w:hAnsi="Arial" w:cs="Arial"/>
          <w:lang w:val="en-GB"/>
        </w:rPr>
        <w:t>:</w:t>
      </w:r>
      <w:r w:rsidRPr="00744EB5">
        <w:rPr>
          <w:rFonts w:ascii="Arial" w:hAnsi="Arial" w:cs="Arial"/>
          <w:lang w:val="en-GB"/>
        </w:rPr>
        <w:t xml:space="preserve"> TR is in urgent need of financial support </w:t>
      </w:r>
      <w:r w:rsidR="00643FFD">
        <w:rPr>
          <w:rFonts w:ascii="Arial" w:hAnsi="Arial" w:cs="Arial"/>
          <w:lang w:val="en-GB"/>
        </w:rPr>
        <w:t xml:space="preserve">(UAE pledged up to USD 10 bn in invesments) </w:t>
      </w:r>
      <w:r w:rsidRPr="00744EB5">
        <w:rPr>
          <w:rFonts w:ascii="Arial" w:hAnsi="Arial" w:cs="Arial"/>
          <w:lang w:val="en-GB"/>
        </w:rPr>
        <w:t>and UAE wants to diversify its economy and make investments</w:t>
      </w:r>
      <w:r w:rsidR="00643FFD">
        <w:rPr>
          <w:rFonts w:ascii="Arial" w:hAnsi="Arial" w:cs="Arial"/>
          <w:lang w:val="en-GB"/>
        </w:rPr>
        <w:t xml:space="preserve"> beyond the oil sector</w:t>
      </w:r>
      <w:r w:rsidRPr="00744EB5">
        <w:rPr>
          <w:rFonts w:ascii="Arial" w:hAnsi="Arial" w:cs="Arial"/>
          <w:lang w:val="en-GB"/>
        </w:rPr>
        <w:t xml:space="preserve">. </w:t>
      </w:r>
    </w:p>
    <w:p w:rsidR="00744EB5" w:rsidRPr="00744EB5" w:rsidRDefault="00744EB5" w:rsidP="00744EB5">
      <w:pPr>
        <w:pStyle w:val="NoSpacing"/>
        <w:numPr>
          <w:ilvl w:val="0"/>
          <w:numId w:val="15"/>
        </w:numPr>
        <w:spacing w:after="120"/>
        <w:jc w:val="both"/>
        <w:rPr>
          <w:rFonts w:ascii="Arial" w:hAnsi="Arial" w:cs="Arial"/>
          <w:lang w:val="en-GB" w:eastAsia="en-GB"/>
        </w:rPr>
      </w:pPr>
      <w:r w:rsidRPr="00744EB5">
        <w:rPr>
          <w:rFonts w:ascii="Arial" w:hAnsi="Arial" w:cs="Arial"/>
          <w:lang w:val="en-GB" w:eastAsia="en-GB"/>
        </w:rPr>
        <w:t xml:space="preserve"> Turkish mafia boss Peker, who was posting videos against Erdogan and other AKP official from his “exile” in UAE, has been completely silent since last November when UAE’s Crown Prince visited Turkey. The “silence” also coincided with the restrictive measures TR has taken over the Muslim brotherhood broadcasts</w:t>
      </w:r>
      <w:r w:rsidR="00643FFD">
        <w:rPr>
          <w:rFonts w:ascii="Arial" w:hAnsi="Arial" w:cs="Arial"/>
          <w:lang w:val="en-GB" w:eastAsia="en-GB"/>
        </w:rPr>
        <w:t xml:space="preserve"> in TR</w:t>
      </w:r>
      <w:r w:rsidRPr="00744EB5">
        <w:rPr>
          <w:rFonts w:ascii="Arial" w:hAnsi="Arial" w:cs="Arial"/>
          <w:lang w:val="en-GB" w:eastAsia="en-GB"/>
        </w:rPr>
        <w:t xml:space="preserve">. </w:t>
      </w:r>
      <w:r w:rsidR="003317E1">
        <w:rPr>
          <w:rFonts w:ascii="Arial" w:hAnsi="Arial" w:cs="Arial"/>
          <w:lang w:val="en-GB" w:eastAsia="en-GB"/>
        </w:rPr>
        <w:t xml:space="preserve">While a direct link between the two issues cannot be proven, the coincidence provides for speculation of a mutually-beneficial deal. </w:t>
      </w:r>
      <w:r w:rsidRPr="00744EB5">
        <w:rPr>
          <w:rFonts w:ascii="Arial" w:hAnsi="Arial" w:cs="Arial"/>
          <w:lang w:val="en-GB" w:eastAsia="en-GB"/>
        </w:rPr>
        <w:t xml:space="preserve">Recently, TR has officially asked UAE’s authorities </w:t>
      </w:r>
      <w:r w:rsidR="003317E1">
        <w:rPr>
          <w:rFonts w:ascii="Arial" w:hAnsi="Arial" w:cs="Arial"/>
          <w:lang w:val="en-GB" w:eastAsia="en-GB"/>
        </w:rPr>
        <w:t>Peker’s</w:t>
      </w:r>
      <w:r w:rsidRPr="00744EB5">
        <w:rPr>
          <w:rFonts w:ascii="Arial" w:hAnsi="Arial" w:cs="Arial"/>
          <w:lang w:val="en-GB" w:eastAsia="en-GB"/>
        </w:rPr>
        <w:t xml:space="preserve"> temporary detention and extradition to TR</w:t>
      </w:r>
      <w:r w:rsidR="003317E1">
        <w:rPr>
          <w:rFonts w:ascii="Arial" w:hAnsi="Arial" w:cs="Arial"/>
          <w:lang w:val="en-GB" w:eastAsia="en-GB"/>
        </w:rPr>
        <w:t xml:space="preserve">, but so far </w:t>
      </w:r>
      <w:r w:rsidRPr="00744EB5">
        <w:rPr>
          <w:rFonts w:ascii="Arial" w:hAnsi="Arial" w:cs="Arial"/>
          <w:lang w:val="en-GB" w:eastAsia="en-GB"/>
        </w:rPr>
        <w:t xml:space="preserve">UAE </w:t>
      </w:r>
      <w:r w:rsidR="003317E1">
        <w:rPr>
          <w:rFonts w:ascii="Arial" w:hAnsi="Arial" w:cs="Arial"/>
          <w:lang w:val="en-GB" w:eastAsia="en-GB"/>
        </w:rPr>
        <w:t xml:space="preserve">has not implemented </w:t>
      </w:r>
      <w:r w:rsidRPr="00744EB5">
        <w:rPr>
          <w:rFonts w:ascii="Arial" w:hAnsi="Arial" w:cs="Arial"/>
          <w:lang w:val="en-GB" w:eastAsia="en-GB"/>
        </w:rPr>
        <w:t xml:space="preserve">this request. </w:t>
      </w:r>
    </w:p>
    <w:p w:rsidR="00744EB5" w:rsidRPr="00744EB5" w:rsidRDefault="00744EB5" w:rsidP="00744EB5">
      <w:pPr>
        <w:pStyle w:val="NoSpacing"/>
        <w:numPr>
          <w:ilvl w:val="0"/>
          <w:numId w:val="15"/>
        </w:numPr>
        <w:spacing w:after="120"/>
        <w:jc w:val="both"/>
        <w:rPr>
          <w:rFonts w:ascii="Arial" w:hAnsi="Arial" w:cs="Arial"/>
          <w:lang w:val="en-GB" w:eastAsia="en-GB"/>
        </w:rPr>
      </w:pPr>
      <w:r w:rsidRPr="00744EB5">
        <w:rPr>
          <w:rFonts w:ascii="Arial" w:hAnsi="Arial" w:cs="Arial"/>
          <w:lang w:val="en-GB" w:eastAsia="en-GB"/>
        </w:rPr>
        <w:lastRenderedPageBreak/>
        <w:t>TR also counts that improved relations with the Gulf countries would attract more tourists in TR who will bring some hard currency.</w:t>
      </w:r>
    </w:p>
    <w:p w:rsidR="00744EB5" w:rsidRPr="00744EB5" w:rsidRDefault="00744EB5" w:rsidP="00744EB5">
      <w:pPr>
        <w:pStyle w:val="NoSpacing"/>
        <w:numPr>
          <w:ilvl w:val="0"/>
          <w:numId w:val="15"/>
        </w:numPr>
        <w:spacing w:after="120"/>
        <w:jc w:val="both"/>
        <w:rPr>
          <w:rFonts w:ascii="Arial" w:hAnsi="Arial" w:cs="Arial"/>
          <w:lang w:val="en-GB" w:eastAsia="en-GB"/>
        </w:rPr>
      </w:pPr>
      <w:r w:rsidRPr="00744EB5">
        <w:rPr>
          <w:rFonts w:ascii="Arial" w:hAnsi="Arial" w:cs="Arial"/>
          <w:lang w:val="en-GB" w:eastAsia="en-GB"/>
        </w:rPr>
        <w:t xml:space="preserve">Reportedly, UAE has </w:t>
      </w:r>
      <w:r w:rsidR="003317E1">
        <w:rPr>
          <w:rFonts w:ascii="Arial" w:hAnsi="Arial" w:cs="Arial"/>
          <w:lang w:val="en-GB" w:eastAsia="en-GB"/>
        </w:rPr>
        <w:t xml:space="preserve">also </w:t>
      </w:r>
      <w:r w:rsidRPr="00744EB5">
        <w:rPr>
          <w:rFonts w:ascii="Arial" w:hAnsi="Arial" w:cs="Arial"/>
          <w:lang w:val="en-GB" w:eastAsia="en-GB"/>
        </w:rPr>
        <w:t xml:space="preserve">allowed access to Turkish news websites and some Turkish TV series that were banned since 2018. </w:t>
      </w:r>
    </w:p>
    <w:p w:rsidR="009102DC" w:rsidRDefault="00F670AC" w:rsidP="002F1D70">
      <w:pPr>
        <w:spacing w:before="240" w:after="120" w:line="240" w:lineRule="auto"/>
        <w:ind w:right="62"/>
        <w:jc w:val="both"/>
        <w:rPr>
          <w:rFonts w:ascii="Arial" w:eastAsia="Calibri" w:hAnsi="Arial" w:cs="Arial"/>
          <w:b/>
          <w:bCs/>
          <w:noProof w:val="0"/>
          <w:bdr w:val="none" w:sz="0" w:space="0" w:color="auto" w:frame="1"/>
          <w:lang w:val="en-GB" w:eastAsia="en-GB"/>
          <w14:textOutline w14:w="12700" w14:cap="flat" w14:cmpd="sng" w14:algn="ctr">
            <w14:noFill/>
            <w14:prstDash w14:val="solid"/>
            <w14:miter w14:lim="100000"/>
          </w14:textOutline>
        </w:rPr>
      </w:pPr>
      <w:r w:rsidRPr="00F670AC">
        <w:rPr>
          <w:rFonts w:ascii="Arial" w:eastAsia="Calibri" w:hAnsi="Arial" w:cs="Arial"/>
          <w:b/>
          <w:bCs/>
          <w:noProof w:val="0"/>
          <w:bdr w:val="none" w:sz="0" w:space="0" w:color="auto" w:frame="1"/>
          <w:lang w:val="en-GB" w:eastAsia="en-GB"/>
          <w14:textOutline w14:w="12700" w14:cap="flat" w14:cmpd="sng" w14:algn="ctr">
            <w14:noFill/>
            <w14:prstDash w14:val="solid"/>
            <w14:miter w14:lim="100000"/>
          </w14:textOutline>
        </w:rPr>
        <w:t>SIGN-OFF: N. MEYER-LANDRUT, HoD</w:t>
      </w:r>
    </w:p>
    <w:sectPr w:rsidR="009102DC" w:rsidSect="000F1FD4">
      <w:footerReference w:type="default" r:id="rId7"/>
      <w:pgSz w:w="11906" w:h="16838"/>
      <w:pgMar w:top="993" w:right="1274" w:bottom="136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0CC" w:rsidRDefault="001740CC" w:rsidP="003C2C9C">
      <w:pPr>
        <w:spacing w:after="0" w:line="240" w:lineRule="auto"/>
      </w:pPr>
      <w:r>
        <w:separator/>
      </w:r>
    </w:p>
  </w:endnote>
  <w:endnote w:type="continuationSeparator" w:id="0">
    <w:p w:rsidR="001740CC" w:rsidRDefault="001740CC" w:rsidP="003C2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637031525"/>
      <w:docPartObj>
        <w:docPartGallery w:val="Page Numbers (Bottom of Page)"/>
        <w:docPartUnique/>
      </w:docPartObj>
    </w:sdtPr>
    <w:sdtEndPr>
      <w:rPr>
        <w:noProof/>
      </w:rPr>
    </w:sdtEndPr>
    <w:sdtContent>
      <w:p w:rsidR="000E6DEF" w:rsidRDefault="000E6DEF">
        <w:pPr>
          <w:pStyle w:val="Footer"/>
          <w:jc w:val="right"/>
        </w:pPr>
        <w:r>
          <w:rPr>
            <w:noProof w:val="0"/>
          </w:rPr>
          <w:fldChar w:fldCharType="begin"/>
        </w:r>
        <w:r>
          <w:instrText xml:space="preserve"> PAGE   \* MERGEFORMAT </w:instrText>
        </w:r>
        <w:r>
          <w:rPr>
            <w:noProof w:val="0"/>
          </w:rPr>
          <w:fldChar w:fldCharType="separate"/>
        </w:r>
        <w:r w:rsidR="00BF5509">
          <w:t>1</w:t>
        </w:r>
        <w:r>
          <w:fldChar w:fldCharType="end"/>
        </w:r>
      </w:p>
    </w:sdtContent>
  </w:sdt>
  <w:p w:rsidR="000E6DEF" w:rsidRDefault="000E6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0CC" w:rsidRDefault="001740CC" w:rsidP="003C2C9C">
      <w:pPr>
        <w:spacing w:after="0" w:line="240" w:lineRule="auto"/>
      </w:pPr>
      <w:r>
        <w:separator/>
      </w:r>
    </w:p>
  </w:footnote>
  <w:footnote w:type="continuationSeparator" w:id="0">
    <w:p w:rsidR="001740CC" w:rsidRDefault="001740CC" w:rsidP="003C2C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38D"/>
    <w:multiLevelType w:val="hybridMultilevel"/>
    <w:tmpl w:val="4CA26C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2C03221"/>
    <w:multiLevelType w:val="hybridMultilevel"/>
    <w:tmpl w:val="A91E718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112195A"/>
    <w:multiLevelType w:val="hybridMultilevel"/>
    <w:tmpl w:val="9D58E2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6961A68"/>
    <w:multiLevelType w:val="hybridMultilevel"/>
    <w:tmpl w:val="A11E9A14"/>
    <w:lvl w:ilvl="0" w:tplc="92C643C6">
      <w:start w:val="1"/>
      <w:numFmt w:val="bullet"/>
      <w:lvlText w:val="-"/>
      <w:lvlJc w:val="left"/>
      <w:pPr>
        <w:ind w:left="720" w:hanging="360"/>
      </w:pPr>
      <w:rPr>
        <w:rFonts w:ascii="Arial" w:eastAsia="Arial Unicode MS"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D25BA8"/>
    <w:multiLevelType w:val="hybridMultilevel"/>
    <w:tmpl w:val="D0CA93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2B911FB"/>
    <w:multiLevelType w:val="hybridMultilevel"/>
    <w:tmpl w:val="E9DE6B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86F3C2F"/>
    <w:multiLevelType w:val="hybridMultilevel"/>
    <w:tmpl w:val="2F0E8BB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8BD6D4B"/>
    <w:multiLevelType w:val="hybridMultilevel"/>
    <w:tmpl w:val="525E302C"/>
    <w:lvl w:ilvl="0" w:tplc="92C643C6">
      <w:start w:val="1"/>
      <w:numFmt w:val="bullet"/>
      <w:lvlText w:val="-"/>
      <w:lvlJc w:val="left"/>
      <w:pPr>
        <w:ind w:left="840" w:hanging="360"/>
      </w:pPr>
      <w:rPr>
        <w:rFonts w:ascii="Arial" w:eastAsia="Arial Unicode MS" w:hAnsi="Arial" w:cs="Arial" w:hint="default"/>
      </w:rPr>
    </w:lvl>
    <w:lvl w:ilvl="1" w:tplc="04130003" w:tentative="1">
      <w:start w:val="1"/>
      <w:numFmt w:val="bullet"/>
      <w:lvlText w:val="o"/>
      <w:lvlJc w:val="left"/>
      <w:pPr>
        <w:ind w:left="1560" w:hanging="360"/>
      </w:pPr>
      <w:rPr>
        <w:rFonts w:ascii="Courier New" w:hAnsi="Courier New" w:cs="Courier New" w:hint="default"/>
      </w:rPr>
    </w:lvl>
    <w:lvl w:ilvl="2" w:tplc="04130005" w:tentative="1">
      <w:start w:val="1"/>
      <w:numFmt w:val="bullet"/>
      <w:lvlText w:val=""/>
      <w:lvlJc w:val="left"/>
      <w:pPr>
        <w:ind w:left="2280" w:hanging="360"/>
      </w:pPr>
      <w:rPr>
        <w:rFonts w:ascii="Wingdings" w:hAnsi="Wingdings" w:hint="default"/>
      </w:rPr>
    </w:lvl>
    <w:lvl w:ilvl="3" w:tplc="04130001" w:tentative="1">
      <w:start w:val="1"/>
      <w:numFmt w:val="bullet"/>
      <w:lvlText w:val=""/>
      <w:lvlJc w:val="left"/>
      <w:pPr>
        <w:ind w:left="3000" w:hanging="360"/>
      </w:pPr>
      <w:rPr>
        <w:rFonts w:ascii="Symbol" w:hAnsi="Symbol" w:hint="default"/>
      </w:rPr>
    </w:lvl>
    <w:lvl w:ilvl="4" w:tplc="04130003" w:tentative="1">
      <w:start w:val="1"/>
      <w:numFmt w:val="bullet"/>
      <w:lvlText w:val="o"/>
      <w:lvlJc w:val="left"/>
      <w:pPr>
        <w:ind w:left="3720" w:hanging="360"/>
      </w:pPr>
      <w:rPr>
        <w:rFonts w:ascii="Courier New" w:hAnsi="Courier New" w:cs="Courier New" w:hint="default"/>
      </w:rPr>
    </w:lvl>
    <w:lvl w:ilvl="5" w:tplc="04130005" w:tentative="1">
      <w:start w:val="1"/>
      <w:numFmt w:val="bullet"/>
      <w:lvlText w:val=""/>
      <w:lvlJc w:val="left"/>
      <w:pPr>
        <w:ind w:left="4440" w:hanging="360"/>
      </w:pPr>
      <w:rPr>
        <w:rFonts w:ascii="Wingdings" w:hAnsi="Wingdings" w:hint="default"/>
      </w:rPr>
    </w:lvl>
    <w:lvl w:ilvl="6" w:tplc="04130001" w:tentative="1">
      <w:start w:val="1"/>
      <w:numFmt w:val="bullet"/>
      <w:lvlText w:val=""/>
      <w:lvlJc w:val="left"/>
      <w:pPr>
        <w:ind w:left="5160" w:hanging="360"/>
      </w:pPr>
      <w:rPr>
        <w:rFonts w:ascii="Symbol" w:hAnsi="Symbol" w:hint="default"/>
      </w:rPr>
    </w:lvl>
    <w:lvl w:ilvl="7" w:tplc="04130003" w:tentative="1">
      <w:start w:val="1"/>
      <w:numFmt w:val="bullet"/>
      <w:lvlText w:val="o"/>
      <w:lvlJc w:val="left"/>
      <w:pPr>
        <w:ind w:left="5880" w:hanging="360"/>
      </w:pPr>
      <w:rPr>
        <w:rFonts w:ascii="Courier New" w:hAnsi="Courier New" w:cs="Courier New" w:hint="default"/>
      </w:rPr>
    </w:lvl>
    <w:lvl w:ilvl="8" w:tplc="04130005" w:tentative="1">
      <w:start w:val="1"/>
      <w:numFmt w:val="bullet"/>
      <w:lvlText w:val=""/>
      <w:lvlJc w:val="left"/>
      <w:pPr>
        <w:ind w:left="6600" w:hanging="360"/>
      </w:pPr>
      <w:rPr>
        <w:rFonts w:ascii="Wingdings" w:hAnsi="Wingdings" w:hint="default"/>
      </w:rPr>
    </w:lvl>
  </w:abstractNum>
  <w:abstractNum w:abstractNumId="8" w15:restartNumberingAfterBreak="0">
    <w:nsid w:val="4BE85002"/>
    <w:multiLevelType w:val="hybridMultilevel"/>
    <w:tmpl w:val="200485D2"/>
    <w:lvl w:ilvl="0" w:tplc="92C643C6">
      <w:start w:val="1"/>
      <w:numFmt w:val="bullet"/>
      <w:lvlText w:val="-"/>
      <w:lvlJc w:val="left"/>
      <w:pPr>
        <w:ind w:left="720" w:hanging="360"/>
      </w:pPr>
      <w:rPr>
        <w:rFonts w:ascii="Arial" w:eastAsia="Arial Unicode MS"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6B52C09"/>
    <w:multiLevelType w:val="hybridMultilevel"/>
    <w:tmpl w:val="A81E13E0"/>
    <w:lvl w:ilvl="0" w:tplc="92C643C6">
      <w:start w:val="1"/>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184404F"/>
    <w:multiLevelType w:val="hybridMultilevel"/>
    <w:tmpl w:val="B66CC7B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6F931A22"/>
    <w:multiLevelType w:val="hybridMultilevel"/>
    <w:tmpl w:val="8DF80C24"/>
    <w:lvl w:ilvl="0" w:tplc="92C643C6">
      <w:start w:val="1"/>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0B0059"/>
    <w:multiLevelType w:val="hybridMultilevel"/>
    <w:tmpl w:val="046AB316"/>
    <w:lvl w:ilvl="0" w:tplc="ADE2521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E641FD7"/>
    <w:multiLevelType w:val="hybridMultilevel"/>
    <w:tmpl w:val="75FE26F6"/>
    <w:lvl w:ilvl="0" w:tplc="0809000F">
      <w:start w:val="1"/>
      <w:numFmt w:val="decimal"/>
      <w:lvlText w:val="%1."/>
      <w:lvlJc w:val="left"/>
      <w:pPr>
        <w:ind w:left="578" w:hanging="360"/>
      </w:pPr>
    </w:lvl>
    <w:lvl w:ilvl="1" w:tplc="08090019">
      <w:start w:val="1"/>
      <w:numFmt w:val="lowerLetter"/>
      <w:lvlText w:val="%2."/>
      <w:lvlJc w:val="left"/>
      <w:pPr>
        <w:ind w:left="1298" w:hanging="360"/>
      </w:pPr>
    </w:lvl>
    <w:lvl w:ilvl="2" w:tplc="0809001B">
      <w:start w:val="1"/>
      <w:numFmt w:val="lowerRoman"/>
      <w:lvlText w:val="%3."/>
      <w:lvlJc w:val="right"/>
      <w:pPr>
        <w:ind w:left="2018" w:hanging="180"/>
      </w:pPr>
    </w:lvl>
    <w:lvl w:ilvl="3" w:tplc="0809000F">
      <w:start w:val="1"/>
      <w:numFmt w:val="decimal"/>
      <w:lvlText w:val="%4."/>
      <w:lvlJc w:val="left"/>
      <w:pPr>
        <w:ind w:left="2738" w:hanging="360"/>
      </w:pPr>
    </w:lvl>
    <w:lvl w:ilvl="4" w:tplc="08090019">
      <w:start w:val="1"/>
      <w:numFmt w:val="lowerLetter"/>
      <w:lvlText w:val="%5."/>
      <w:lvlJc w:val="left"/>
      <w:pPr>
        <w:ind w:left="3458" w:hanging="360"/>
      </w:pPr>
    </w:lvl>
    <w:lvl w:ilvl="5" w:tplc="0809001B">
      <w:start w:val="1"/>
      <w:numFmt w:val="lowerRoman"/>
      <w:lvlText w:val="%6."/>
      <w:lvlJc w:val="right"/>
      <w:pPr>
        <w:ind w:left="4178" w:hanging="180"/>
      </w:pPr>
    </w:lvl>
    <w:lvl w:ilvl="6" w:tplc="0809000F">
      <w:start w:val="1"/>
      <w:numFmt w:val="decimal"/>
      <w:lvlText w:val="%7."/>
      <w:lvlJc w:val="left"/>
      <w:pPr>
        <w:ind w:left="4898" w:hanging="360"/>
      </w:pPr>
    </w:lvl>
    <w:lvl w:ilvl="7" w:tplc="08090019">
      <w:start w:val="1"/>
      <w:numFmt w:val="lowerLetter"/>
      <w:lvlText w:val="%8."/>
      <w:lvlJc w:val="left"/>
      <w:pPr>
        <w:ind w:left="5618" w:hanging="360"/>
      </w:pPr>
    </w:lvl>
    <w:lvl w:ilvl="8" w:tplc="0809001B">
      <w:start w:val="1"/>
      <w:numFmt w:val="lowerRoman"/>
      <w:lvlText w:val="%9."/>
      <w:lvlJc w:val="right"/>
      <w:pPr>
        <w:ind w:left="6338" w:hanging="180"/>
      </w:pPr>
    </w:lvl>
  </w:abstractNum>
  <w:num w:numId="1">
    <w:abstractNumId w:val="4"/>
  </w:num>
  <w:num w:numId="2">
    <w:abstractNumId w:val="11"/>
  </w:num>
  <w:num w:numId="3">
    <w:abstractNumId w:val="9"/>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7"/>
  </w:num>
  <w:num w:numId="8">
    <w:abstractNumId w:val="12"/>
  </w:num>
  <w:num w:numId="9">
    <w:abstractNumId w:val="13"/>
  </w:num>
  <w:num w:numId="10">
    <w:abstractNumId w:val="6"/>
  </w:num>
  <w:num w:numId="11">
    <w:abstractNumId w:val="1"/>
  </w:num>
  <w:num w:numId="12">
    <w:abstractNumId w:val="2"/>
  </w:num>
  <w:num w:numId="13">
    <w:abstractNumId w:val="10"/>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D25B9"/>
    <w:rsid w:val="000611C1"/>
    <w:rsid w:val="00062F5B"/>
    <w:rsid w:val="00076F22"/>
    <w:rsid w:val="00094AFE"/>
    <w:rsid w:val="000C31D3"/>
    <w:rsid w:val="000E0FCA"/>
    <w:rsid w:val="000E6DEF"/>
    <w:rsid w:val="000F1FD4"/>
    <w:rsid w:val="001344CD"/>
    <w:rsid w:val="0017244B"/>
    <w:rsid w:val="001740CC"/>
    <w:rsid w:val="00194815"/>
    <w:rsid w:val="001A4097"/>
    <w:rsid w:val="00200FD7"/>
    <w:rsid w:val="002221E4"/>
    <w:rsid w:val="00225D4B"/>
    <w:rsid w:val="00247423"/>
    <w:rsid w:val="0026190D"/>
    <w:rsid w:val="00273882"/>
    <w:rsid w:val="0028054B"/>
    <w:rsid w:val="00283097"/>
    <w:rsid w:val="002972A8"/>
    <w:rsid w:val="002A4989"/>
    <w:rsid w:val="002A520C"/>
    <w:rsid w:val="002A756B"/>
    <w:rsid w:val="002B2489"/>
    <w:rsid w:val="002E6CEC"/>
    <w:rsid w:val="002F1820"/>
    <w:rsid w:val="002F1D70"/>
    <w:rsid w:val="002F2783"/>
    <w:rsid w:val="00300A8D"/>
    <w:rsid w:val="00301895"/>
    <w:rsid w:val="00307916"/>
    <w:rsid w:val="003317E1"/>
    <w:rsid w:val="00334DFD"/>
    <w:rsid w:val="003367B2"/>
    <w:rsid w:val="0034495E"/>
    <w:rsid w:val="00360CDD"/>
    <w:rsid w:val="003616F8"/>
    <w:rsid w:val="0038042C"/>
    <w:rsid w:val="00393A91"/>
    <w:rsid w:val="003954D7"/>
    <w:rsid w:val="003A2A2E"/>
    <w:rsid w:val="003C1750"/>
    <w:rsid w:val="003C2C9C"/>
    <w:rsid w:val="00400ED1"/>
    <w:rsid w:val="00414E4A"/>
    <w:rsid w:val="00432A57"/>
    <w:rsid w:val="00433610"/>
    <w:rsid w:val="004339FB"/>
    <w:rsid w:val="00433B76"/>
    <w:rsid w:val="00434C74"/>
    <w:rsid w:val="00444C6E"/>
    <w:rsid w:val="00456E47"/>
    <w:rsid w:val="004621EC"/>
    <w:rsid w:val="0046736D"/>
    <w:rsid w:val="0047352E"/>
    <w:rsid w:val="00480050"/>
    <w:rsid w:val="004A2D70"/>
    <w:rsid w:val="004B5237"/>
    <w:rsid w:val="004F021E"/>
    <w:rsid w:val="004F7FCD"/>
    <w:rsid w:val="00503278"/>
    <w:rsid w:val="00521B1F"/>
    <w:rsid w:val="0052587C"/>
    <w:rsid w:val="005260BC"/>
    <w:rsid w:val="005348D7"/>
    <w:rsid w:val="00542D24"/>
    <w:rsid w:val="00553462"/>
    <w:rsid w:val="0055606B"/>
    <w:rsid w:val="005755FC"/>
    <w:rsid w:val="005879E6"/>
    <w:rsid w:val="00595862"/>
    <w:rsid w:val="005A4B8E"/>
    <w:rsid w:val="005C680D"/>
    <w:rsid w:val="005D0FB8"/>
    <w:rsid w:val="005D25B9"/>
    <w:rsid w:val="005E0480"/>
    <w:rsid w:val="005F4CE5"/>
    <w:rsid w:val="006203B9"/>
    <w:rsid w:val="00626509"/>
    <w:rsid w:val="006356DB"/>
    <w:rsid w:val="00643FFD"/>
    <w:rsid w:val="00663D7E"/>
    <w:rsid w:val="00674C2A"/>
    <w:rsid w:val="0069780D"/>
    <w:rsid w:val="006A411C"/>
    <w:rsid w:val="006A5CD2"/>
    <w:rsid w:val="006B6856"/>
    <w:rsid w:val="006C085C"/>
    <w:rsid w:val="006D013C"/>
    <w:rsid w:val="006D72C8"/>
    <w:rsid w:val="0070098B"/>
    <w:rsid w:val="00707F4D"/>
    <w:rsid w:val="00711CDE"/>
    <w:rsid w:val="00736DA5"/>
    <w:rsid w:val="00744EB5"/>
    <w:rsid w:val="0075257A"/>
    <w:rsid w:val="00785C2C"/>
    <w:rsid w:val="0079169B"/>
    <w:rsid w:val="007A64B9"/>
    <w:rsid w:val="007A6C4F"/>
    <w:rsid w:val="007A6E14"/>
    <w:rsid w:val="007B4CB9"/>
    <w:rsid w:val="007D2903"/>
    <w:rsid w:val="007F211B"/>
    <w:rsid w:val="00800B3A"/>
    <w:rsid w:val="0082382A"/>
    <w:rsid w:val="00827A23"/>
    <w:rsid w:val="0084519B"/>
    <w:rsid w:val="00853DCC"/>
    <w:rsid w:val="0085613E"/>
    <w:rsid w:val="008B5E10"/>
    <w:rsid w:val="008B721B"/>
    <w:rsid w:val="008C5A37"/>
    <w:rsid w:val="008D455F"/>
    <w:rsid w:val="008E30FB"/>
    <w:rsid w:val="008E3A53"/>
    <w:rsid w:val="008E54AD"/>
    <w:rsid w:val="008F3751"/>
    <w:rsid w:val="00902A95"/>
    <w:rsid w:val="009102DC"/>
    <w:rsid w:val="00915409"/>
    <w:rsid w:val="00955103"/>
    <w:rsid w:val="0096316C"/>
    <w:rsid w:val="00980F89"/>
    <w:rsid w:val="00990CAF"/>
    <w:rsid w:val="009A4A60"/>
    <w:rsid w:val="009D32F1"/>
    <w:rsid w:val="009D41C8"/>
    <w:rsid w:val="009F5EBE"/>
    <w:rsid w:val="009F62E5"/>
    <w:rsid w:val="00A40B8B"/>
    <w:rsid w:val="00A468D5"/>
    <w:rsid w:val="00A50719"/>
    <w:rsid w:val="00A66947"/>
    <w:rsid w:val="00A73142"/>
    <w:rsid w:val="00A819E6"/>
    <w:rsid w:val="00AA0192"/>
    <w:rsid w:val="00AD0E2B"/>
    <w:rsid w:val="00B3556B"/>
    <w:rsid w:val="00B536FB"/>
    <w:rsid w:val="00B61720"/>
    <w:rsid w:val="00BB7503"/>
    <w:rsid w:val="00BD085B"/>
    <w:rsid w:val="00BE1407"/>
    <w:rsid w:val="00BE7D5B"/>
    <w:rsid w:val="00BF5509"/>
    <w:rsid w:val="00C124D1"/>
    <w:rsid w:val="00C35781"/>
    <w:rsid w:val="00C36A3C"/>
    <w:rsid w:val="00C74A6C"/>
    <w:rsid w:val="00C953B1"/>
    <w:rsid w:val="00CA69B5"/>
    <w:rsid w:val="00CB44A0"/>
    <w:rsid w:val="00CC372E"/>
    <w:rsid w:val="00CD37A8"/>
    <w:rsid w:val="00CE2230"/>
    <w:rsid w:val="00CE7277"/>
    <w:rsid w:val="00D00BD6"/>
    <w:rsid w:val="00D27110"/>
    <w:rsid w:val="00D3033C"/>
    <w:rsid w:val="00D43631"/>
    <w:rsid w:val="00D6076A"/>
    <w:rsid w:val="00D66E04"/>
    <w:rsid w:val="00D910E9"/>
    <w:rsid w:val="00D9428C"/>
    <w:rsid w:val="00DA7673"/>
    <w:rsid w:val="00DA77C4"/>
    <w:rsid w:val="00DC0EC4"/>
    <w:rsid w:val="00DE5D27"/>
    <w:rsid w:val="00E10BE4"/>
    <w:rsid w:val="00E1761A"/>
    <w:rsid w:val="00E2425F"/>
    <w:rsid w:val="00E24DF4"/>
    <w:rsid w:val="00E3224C"/>
    <w:rsid w:val="00E32297"/>
    <w:rsid w:val="00E433A4"/>
    <w:rsid w:val="00E559E0"/>
    <w:rsid w:val="00E8639F"/>
    <w:rsid w:val="00E97BE2"/>
    <w:rsid w:val="00EA0D02"/>
    <w:rsid w:val="00EC4FB2"/>
    <w:rsid w:val="00EE7EF2"/>
    <w:rsid w:val="00EF044C"/>
    <w:rsid w:val="00EF3441"/>
    <w:rsid w:val="00F0187D"/>
    <w:rsid w:val="00F14E6E"/>
    <w:rsid w:val="00F670AC"/>
    <w:rsid w:val="00F67CD5"/>
    <w:rsid w:val="00F700C8"/>
    <w:rsid w:val="00F7798A"/>
    <w:rsid w:val="00F77BE7"/>
    <w:rsid w:val="00F821C8"/>
    <w:rsid w:val="00F8735B"/>
    <w:rsid w:val="00FD1BF4"/>
    <w:rsid w:val="00FF5B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65A195-5E6E-4DB1-B308-2BB0FE6A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3278"/>
    <w:pPr>
      <w:ind w:left="720"/>
      <w:contextualSpacing/>
    </w:pPr>
  </w:style>
  <w:style w:type="paragraph" w:styleId="Header">
    <w:name w:val="header"/>
    <w:basedOn w:val="Normal"/>
    <w:link w:val="HeaderChar"/>
    <w:uiPriority w:val="99"/>
    <w:unhideWhenUsed/>
    <w:rsid w:val="003C2C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2C9C"/>
    <w:rPr>
      <w:noProof/>
      <w:lang w:val="en-US"/>
    </w:rPr>
  </w:style>
  <w:style w:type="paragraph" w:styleId="Footer">
    <w:name w:val="footer"/>
    <w:basedOn w:val="Normal"/>
    <w:link w:val="FooterChar"/>
    <w:uiPriority w:val="99"/>
    <w:unhideWhenUsed/>
    <w:rsid w:val="003C2C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2C9C"/>
    <w:rPr>
      <w:noProof/>
      <w:lang w:val="en-US"/>
    </w:rPr>
  </w:style>
  <w:style w:type="paragraph" w:styleId="NormalWeb">
    <w:name w:val="Normal (Web)"/>
    <w:basedOn w:val="Normal"/>
    <w:uiPriority w:val="99"/>
    <w:semiHidden/>
    <w:unhideWhenUsed/>
    <w:rsid w:val="000E6DEF"/>
    <w:pPr>
      <w:spacing w:before="100" w:beforeAutospacing="1" w:after="100" w:afterAutospacing="1" w:line="240" w:lineRule="auto"/>
    </w:pPr>
    <w:rPr>
      <w:rFonts w:ascii="Times New Roman" w:eastAsia="Times New Roman" w:hAnsi="Times New Roman" w:cs="Times New Roman"/>
      <w:noProof w:val="0"/>
      <w:sz w:val="24"/>
      <w:szCs w:val="24"/>
      <w:lang w:val="nl-NL" w:eastAsia="nl-NL"/>
    </w:rPr>
  </w:style>
  <w:style w:type="paragraph" w:styleId="BalloonText">
    <w:name w:val="Balloon Text"/>
    <w:basedOn w:val="Normal"/>
    <w:link w:val="BalloonTextChar"/>
    <w:uiPriority w:val="99"/>
    <w:semiHidden/>
    <w:unhideWhenUsed/>
    <w:rsid w:val="009F5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5EBE"/>
    <w:rPr>
      <w:rFonts w:ascii="Segoe UI" w:hAnsi="Segoe UI" w:cs="Segoe UI"/>
      <w:noProof/>
      <w:sz w:val="18"/>
      <w:szCs w:val="18"/>
      <w:lang w:val="en-US"/>
    </w:rPr>
  </w:style>
  <w:style w:type="paragraph" w:styleId="NoSpacing">
    <w:name w:val="No Spacing"/>
    <w:uiPriority w:val="1"/>
    <w:qFormat/>
    <w:rsid w:val="00E32297"/>
    <w:pPr>
      <w:spacing w:after="0" w:line="240" w:lineRule="auto"/>
    </w:pPr>
    <w:rPr>
      <w:noProof/>
      <w:lang w:val="en-US"/>
    </w:rPr>
  </w:style>
  <w:style w:type="character" w:styleId="CommentReference">
    <w:name w:val="annotation reference"/>
    <w:basedOn w:val="DefaultParagraphFont"/>
    <w:uiPriority w:val="99"/>
    <w:semiHidden/>
    <w:unhideWhenUsed/>
    <w:rsid w:val="000F1FD4"/>
    <w:rPr>
      <w:sz w:val="16"/>
      <w:szCs w:val="16"/>
    </w:rPr>
  </w:style>
  <w:style w:type="paragraph" w:styleId="CommentText">
    <w:name w:val="annotation text"/>
    <w:basedOn w:val="Normal"/>
    <w:link w:val="CommentTextChar"/>
    <w:uiPriority w:val="99"/>
    <w:semiHidden/>
    <w:unhideWhenUsed/>
    <w:rsid w:val="000F1FD4"/>
    <w:pPr>
      <w:spacing w:line="240" w:lineRule="auto"/>
    </w:pPr>
    <w:rPr>
      <w:sz w:val="20"/>
      <w:szCs w:val="20"/>
    </w:rPr>
  </w:style>
  <w:style w:type="character" w:customStyle="1" w:styleId="CommentTextChar">
    <w:name w:val="Comment Text Char"/>
    <w:basedOn w:val="DefaultParagraphFont"/>
    <w:link w:val="CommentText"/>
    <w:uiPriority w:val="99"/>
    <w:semiHidden/>
    <w:rsid w:val="000F1FD4"/>
    <w:rPr>
      <w:noProof/>
      <w:sz w:val="20"/>
      <w:szCs w:val="20"/>
      <w:lang w:val="en-US"/>
    </w:rPr>
  </w:style>
  <w:style w:type="paragraph" w:styleId="CommentSubject">
    <w:name w:val="annotation subject"/>
    <w:basedOn w:val="CommentText"/>
    <w:next w:val="CommentText"/>
    <w:link w:val="CommentSubjectChar"/>
    <w:uiPriority w:val="99"/>
    <w:semiHidden/>
    <w:unhideWhenUsed/>
    <w:rsid w:val="000F1FD4"/>
    <w:rPr>
      <w:b/>
      <w:bCs/>
    </w:rPr>
  </w:style>
  <w:style w:type="character" w:customStyle="1" w:styleId="CommentSubjectChar">
    <w:name w:val="Comment Subject Char"/>
    <w:basedOn w:val="CommentTextChar"/>
    <w:link w:val="CommentSubject"/>
    <w:uiPriority w:val="99"/>
    <w:semiHidden/>
    <w:rsid w:val="000F1FD4"/>
    <w:rPr>
      <w:b/>
      <w:bCs/>
      <w:noProof/>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39751">
      <w:bodyDiv w:val="1"/>
      <w:marLeft w:val="0"/>
      <w:marRight w:val="0"/>
      <w:marTop w:val="0"/>
      <w:marBottom w:val="0"/>
      <w:divBdr>
        <w:top w:val="none" w:sz="0" w:space="0" w:color="auto"/>
        <w:left w:val="none" w:sz="0" w:space="0" w:color="auto"/>
        <w:bottom w:val="none" w:sz="0" w:space="0" w:color="auto"/>
        <w:right w:val="none" w:sz="0" w:space="0" w:color="auto"/>
      </w:divBdr>
    </w:div>
    <w:div w:id="241453341">
      <w:bodyDiv w:val="1"/>
      <w:marLeft w:val="0"/>
      <w:marRight w:val="0"/>
      <w:marTop w:val="0"/>
      <w:marBottom w:val="0"/>
      <w:divBdr>
        <w:top w:val="none" w:sz="0" w:space="0" w:color="auto"/>
        <w:left w:val="none" w:sz="0" w:space="0" w:color="auto"/>
        <w:bottom w:val="none" w:sz="0" w:space="0" w:color="auto"/>
        <w:right w:val="none" w:sz="0" w:space="0" w:color="auto"/>
      </w:divBdr>
    </w:div>
    <w:div w:id="289752659">
      <w:bodyDiv w:val="1"/>
      <w:marLeft w:val="0"/>
      <w:marRight w:val="0"/>
      <w:marTop w:val="0"/>
      <w:marBottom w:val="0"/>
      <w:divBdr>
        <w:top w:val="none" w:sz="0" w:space="0" w:color="auto"/>
        <w:left w:val="none" w:sz="0" w:space="0" w:color="auto"/>
        <w:bottom w:val="none" w:sz="0" w:space="0" w:color="auto"/>
        <w:right w:val="none" w:sz="0" w:space="0" w:color="auto"/>
      </w:divBdr>
    </w:div>
    <w:div w:id="310182853">
      <w:bodyDiv w:val="1"/>
      <w:marLeft w:val="0"/>
      <w:marRight w:val="0"/>
      <w:marTop w:val="0"/>
      <w:marBottom w:val="0"/>
      <w:divBdr>
        <w:top w:val="none" w:sz="0" w:space="0" w:color="auto"/>
        <w:left w:val="none" w:sz="0" w:space="0" w:color="auto"/>
        <w:bottom w:val="none" w:sz="0" w:space="0" w:color="auto"/>
        <w:right w:val="none" w:sz="0" w:space="0" w:color="auto"/>
      </w:divBdr>
      <w:divsChild>
        <w:div w:id="874006686">
          <w:marLeft w:val="0"/>
          <w:marRight w:val="0"/>
          <w:marTop w:val="0"/>
          <w:marBottom w:val="0"/>
          <w:divBdr>
            <w:top w:val="none" w:sz="0" w:space="0" w:color="auto"/>
            <w:left w:val="none" w:sz="0" w:space="0" w:color="auto"/>
            <w:bottom w:val="none" w:sz="0" w:space="0" w:color="auto"/>
            <w:right w:val="none" w:sz="0" w:space="0" w:color="auto"/>
          </w:divBdr>
          <w:divsChild>
            <w:div w:id="1912428311">
              <w:marLeft w:val="0"/>
              <w:marRight w:val="0"/>
              <w:marTop w:val="0"/>
              <w:marBottom w:val="0"/>
              <w:divBdr>
                <w:top w:val="none" w:sz="0" w:space="0" w:color="auto"/>
                <w:left w:val="none" w:sz="0" w:space="0" w:color="auto"/>
                <w:bottom w:val="none" w:sz="0" w:space="0" w:color="auto"/>
                <w:right w:val="none" w:sz="0" w:space="0" w:color="auto"/>
              </w:divBdr>
              <w:divsChild>
                <w:div w:id="32123790">
                  <w:marLeft w:val="0"/>
                  <w:marRight w:val="0"/>
                  <w:marTop w:val="0"/>
                  <w:marBottom w:val="0"/>
                  <w:divBdr>
                    <w:top w:val="none" w:sz="0" w:space="0" w:color="auto"/>
                    <w:left w:val="none" w:sz="0" w:space="0" w:color="auto"/>
                    <w:bottom w:val="none" w:sz="0" w:space="0" w:color="auto"/>
                    <w:right w:val="none" w:sz="0" w:space="0" w:color="auto"/>
                  </w:divBdr>
                  <w:divsChild>
                    <w:div w:id="1589463972">
                      <w:marLeft w:val="0"/>
                      <w:marRight w:val="0"/>
                      <w:marTop w:val="0"/>
                      <w:marBottom w:val="0"/>
                      <w:divBdr>
                        <w:top w:val="none" w:sz="0" w:space="0" w:color="auto"/>
                        <w:left w:val="none" w:sz="0" w:space="0" w:color="auto"/>
                        <w:bottom w:val="none" w:sz="0" w:space="0" w:color="auto"/>
                        <w:right w:val="none" w:sz="0" w:space="0" w:color="auto"/>
                      </w:divBdr>
                      <w:divsChild>
                        <w:div w:id="1903983313">
                          <w:marLeft w:val="0"/>
                          <w:marRight w:val="0"/>
                          <w:marTop w:val="0"/>
                          <w:marBottom w:val="0"/>
                          <w:divBdr>
                            <w:top w:val="none" w:sz="0" w:space="0" w:color="auto"/>
                            <w:left w:val="none" w:sz="0" w:space="0" w:color="auto"/>
                            <w:bottom w:val="none" w:sz="0" w:space="0" w:color="auto"/>
                            <w:right w:val="none" w:sz="0" w:space="0" w:color="auto"/>
                          </w:divBdr>
                          <w:divsChild>
                            <w:div w:id="1275164983">
                              <w:marLeft w:val="0"/>
                              <w:marRight w:val="0"/>
                              <w:marTop w:val="0"/>
                              <w:marBottom w:val="0"/>
                              <w:divBdr>
                                <w:top w:val="none" w:sz="0" w:space="0" w:color="auto"/>
                                <w:left w:val="none" w:sz="0" w:space="0" w:color="auto"/>
                                <w:bottom w:val="none" w:sz="0" w:space="0" w:color="auto"/>
                                <w:right w:val="none" w:sz="0" w:space="0" w:color="auto"/>
                              </w:divBdr>
                              <w:divsChild>
                                <w:div w:id="152026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886988">
          <w:marLeft w:val="0"/>
          <w:marRight w:val="0"/>
          <w:marTop w:val="0"/>
          <w:marBottom w:val="0"/>
          <w:divBdr>
            <w:top w:val="none" w:sz="0" w:space="0" w:color="auto"/>
            <w:left w:val="none" w:sz="0" w:space="0" w:color="auto"/>
            <w:bottom w:val="none" w:sz="0" w:space="0" w:color="auto"/>
            <w:right w:val="none" w:sz="0" w:space="0" w:color="auto"/>
          </w:divBdr>
          <w:divsChild>
            <w:div w:id="510921032">
              <w:marLeft w:val="0"/>
              <w:marRight w:val="0"/>
              <w:marTop w:val="0"/>
              <w:marBottom w:val="0"/>
              <w:divBdr>
                <w:top w:val="none" w:sz="0" w:space="0" w:color="auto"/>
                <w:left w:val="none" w:sz="0" w:space="0" w:color="auto"/>
                <w:bottom w:val="none" w:sz="0" w:space="0" w:color="auto"/>
                <w:right w:val="none" w:sz="0" w:space="0" w:color="auto"/>
              </w:divBdr>
              <w:divsChild>
                <w:div w:id="2052223452">
                  <w:marLeft w:val="0"/>
                  <w:marRight w:val="0"/>
                  <w:marTop w:val="0"/>
                  <w:marBottom w:val="0"/>
                  <w:divBdr>
                    <w:top w:val="none" w:sz="0" w:space="0" w:color="auto"/>
                    <w:left w:val="none" w:sz="0" w:space="0" w:color="auto"/>
                    <w:bottom w:val="none" w:sz="0" w:space="0" w:color="auto"/>
                    <w:right w:val="none" w:sz="0" w:space="0" w:color="auto"/>
                  </w:divBdr>
                  <w:divsChild>
                    <w:div w:id="1241522353">
                      <w:marLeft w:val="0"/>
                      <w:marRight w:val="0"/>
                      <w:marTop w:val="0"/>
                      <w:marBottom w:val="0"/>
                      <w:divBdr>
                        <w:top w:val="none" w:sz="0" w:space="0" w:color="auto"/>
                        <w:left w:val="none" w:sz="0" w:space="0" w:color="auto"/>
                        <w:bottom w:val="none" w:sz="0" w:space="0" w:color="auto"/>
                        <w:right w:val="none" w:sz="0" w:space="0" w:color="auto"/>
                      </w:divBdr>
                      <w:divsChild>
                        <w:div w:id="1042100363">
                          <w:marLeft w:val="0"/>
                          <w:marRight w:val="0"/>
                          <w:marTop w:val="0"/>
                          <w:marBottom w:val="0"/>
                          <w:divBdr>
                            <w:top w:val="none" w:sz="0" w:space="0" w:color="auto"/>
                            <w:left w:val="none" w:sz="0" w:space="0" w:color="auto"/>
                            <w:bottom w:val="none" w:sz="0" w:space="0" w:color="auto"/>
                            <w:right w:val="none" w:sz="0" w:space="0" w:color="auto"/>
                          </w:divBdr>
                          <w:divsChild>
                            <w:div w:id="233128142">
                              <w:marLeft w:val="0"/>
                              <w:marRight w:val="0"/>
                              <w:marTop w:val="0"/>
                              <w:marBottom w:val="0"/>
                              <w:divBdr>
                                <w:top w:val="none" w:sz="0" w:space="0" w:color="auto"/>
                                <w:left w:val="none" w:sz="0" w:space="0" w:color="auto"/>
                                <w:bottom w:val="none" w:sz="0" w:space="0" w:color="auto"/>
                                <w:right w:val="none" w:sz="0" w:space="0" w:color="auto"/>
                              </w:divBdr>
                              <w:divsChild>
                                <w:div w:id="2039157958">
                                  <w:marLeft w:val="0"/>
                                  <w:marRight w:val="0"/>
                                  <w:marTop w:val="0"/>
                                  <w:marBottom w:val="0"/>
                                  <w:divBdr>
                                    <w:top w:val="none" w:sz="0" w:space="0" w:color="auto"/>
                                    <w:left w:val="none" w:sz="0" w:space="0" w:color="auto"/>
                                    <w:bottom w:val="none" w:sz="0" w:space="0" w:color="auto"/>
                                    <w:right w:val="none" w:sz="0" w:space="0" w:color="auto"/>
                                  </w:divBdr>
                                </w:div>
                              </w:divsChild>
                            </w:div>
                            <w:div w:id="1102602141">
                              <w:marLeft w:val="0"/>
                              <w:marRight w:val="0"/>
                              <w:marTop w:val="0"/>
                              <w:marBottom w:val="0"/>
                              <w:divBdr>
                                <w:top w:val="none" w:sz="0" w:space="0" w:color="auto"/>
                                <w:left w:val="none" w:sz="0" w:space="0" w:color="auto"/>
                                <w:bottom w:val="none" w:sz="0" w:space="0" w:color="auto"/>
                                <w:right w:val="none" w:sz="0" w:space="0" w:color="auto"/>
                              </w:divBdr>
                              <w:divsChild>
                                <w:div w:id="1079253679">
                                  <w:marLeft w:val="0"/>
                                  <w:marRight w:val="0"/>
                                  <w:marTop w:val="0"/>
                                  <w:marBottom w:val="0"/>
                                  <w:divBdr>
                                    <w:top w:val="none" w:sz="0" w:space="0" w:color="auto"/>
                                    <w:left w:val="none" w:sz="0" w:space="0" w:color="auto"/>
                                    <w:bottom w:val="none" w:sz="0" w:space="0" w:color="auto"/>
                                    <w:right w:val="none" w:sz="0" w:space="0" w:color="auto"/>
                                  </w:divBdr>
                                  <w:divsChild>
                                    <w:div w:id="123812839">
                                      <w:marLeft w:val="0"/>
                                      <w:marRight w:val="0"/>
                                      <w:marTop w:val="0"/>
                                      <w:marBottom w:val="0"/>
                                      <w:divBdr>
                                        <w:top w:val="none" w:sz="0" w:space="0" w:color="auto"/>
                                        <w:left w:val="none" w:sz="0" w:space="0" w:color="auto"/>
                                        <w:bottom w:val="none" w:sz="0" w:space="0" w:color="auto"/>
                                        <w:right w:val="none" w:sz="0" w:space="0" w:color="auto"/>
                                      </w:divBdr>
                                    </w:div>
                                    <w:div w:id="824854978">
                                      <w:marLeft w:val="0"/>
                                      <w:marRight w:val="0"/>
                                      <w:marTop w:val="0"/>
                                      <w:marBottom w:val="0"/>
                                      <w:divBdr>
                                        <w:top w:val="none" w:sz="0" w:space="0" w:color="auto"/>
                                        <w:left w:val="none" w:sz="0" w:space="0" w:color="auto"/>
                                        <w:bottom w:val="none" w:sz="0" w:space="0" w:color="auto"/>
                                        <w:right w:val="none" w:sz="0" w:space="0" w:color="auto"/>
                                      </w:divBdr>
                                    </w:div>
                                  </w:divsChild>
                                </w:div>
                                <w:div w:id="7482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022812">
                      <w:marLeft w:val="0"/>
                      <w:marRight w:val="0"/>
                      <w:marTop w:val="0"/>
                      <w:marBottom w:val="0"/>
                      <w:divBdr>
                        <w:top w:val="none" w:sz="0" w:space="0" w:color="auto"/>
                        <w:left w:val="none" w:sz="0" w:space="0" w:color="auto"/>
                        <w:bottom w:val="none" w:sz="0" w:space="0" w:color="auto"/>
                        <w:right w:val="none" w:sz="0" w:space="0" w:color="auto"/>
                      </w:divBdr>
                      <w:divsChild>
                        <w:div w:id="116045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176101">
      <w:bodyDiv w:val="1"/>
      <w:marLeft w:val="0"/>
      <w:marRight w:val="0"/>
      <w:marTop w:val="0"/>
      <w:marBottom w:val="0"/>
      <w:divBdr>
        <w:top w:val="none" w:sz="0" w:space="0" w:color="auto"/>
        <w:left w:val="none" w:sz="0" w:space="0" w:color="auto"/>
        <w:bottom w:val="none" w:sz="0" w:space="0" w:color="auto"/>
        <w:right w:val="none" w:sz="0" w:space="0" w:color="auto"/>
      </w:divBdr>
    </w:div>
    <w:div w:id="713430816">
      <w:bodyDiv w:val="1"/>
      <w:marLeft w:val="0"/>
      <w:marRight w:val="0"/>
      <w:marTop w:val="0"/>
      <w:marBottom w:val="0"/>
      <w:divBdr>
        <w:top w:val="none" w:sz="0" w:space="0" w:color="auto"/>
        <w:left w:val="none" w:sz="0" w:space="0" w:color="auto"/>
        <w:bottom w:val="none" w:sz="0" w:space="0" w:color="auto"/>
        <w:right w:val="none" w:sz="0" w:space="0" w:color="auto"/>
      </w:divBdr>
    </w:div>
    <w:div w:id="1130631597">
      <w:bodyDiv w:val="1"/>
      <w:marLeft w:val="0"/>
      <w:marRight w:val="0"/>
      <w:marTop w:val="0"/>
      <w:marBottom w:val="0"/>
      <w:divBdr>
        <w:top w:val="none" w:sz="0" w:space="0" w:color="auto"/>
        <w:left w:val="none" w:sz="0" w:space="0" w:color="auto"/>
        <w:bottom w:val="none" w:sz="0" w:space="0" w:color="auto"/>
        <w:right w:val="none" w:sz="0" w:space="0" w:color="auto"/>
      </w:divBdr>
    </w:div>
    <w:div w:id="1137988074">
      <w:bodyDiv w:val="1"/>
      <w:marLeft w:val="0"/>
      <w:marRight w:val="0"/>
      <w:marTop w:val="0"/>
      <w:marBottom w:val="0"/>
      <w:divBdr>
        <w:top w:val="none" w:sz="0" w:space="0" w:color="auto"/>
        <w:left w:val="none" w:sz="0" w:space="0" w:color="auto"/>
        <w:bottom w:val="none" w:sz="0" w:space="0" w:color="auto"/>
        <w:right w:val="none" w:sz="0" w:space="0" w:color="auto"/>
      </w:divBdr>
    </w:div>
    <w:div w:id="1682662278">
      <w:bodyDiv w:val="1"/>
      <w:marLeft w:val="0"/>
      <w:marRight w:val="0"/>
      <w:marTop w:val="0"/>
      <w:marBottom w:val="0"/>
      <w:divBdr>
        <w:top w:val="none" w:sz="0" w:space="0" w:color="auto"/>
        <w:left w:val="none" w:sz="0" w:space="0" w:color="auto"/>
        <w:bottom w:val="none" w:sz="0" w:space="0" w:color="auto"/>
        <w:right w:val="none" w:sz="0" w:space="0" w:color="auto"/>
      </w:divBdr>
    </w:div>
    <w:div w:id="2038189716">
      <w:bodyDiv w:val="1"/>
      <w:marLeft w:val="0"/>
      <w:marRight w:val="0"/>
      <w:marTop w:val="0"/>
      <w:marBottom w:val="0"/>
      <w:divBdr>
        <w:top w:val="none" w:sz="0" w:space="0" w:color="auto"/>
        <w:left w:val="none" w:sz="0" w:space="0" w:color="auto"/>
        <w:bottom w:val="none" w:sz="0" w:space="0" w:color="auto"/>
        <w:right w:val="none" w:sz="0" w:space="0" w:color="auto"/>
      </w:divBdr>
    </w:div>
    <w:div w:id="2063751839">
      <w:bodyDiv w:val="1"/>
      <w:marLeft w:val="0"/>
      <w:marRight w:val="0"/>
      <w:marTop w:val="0"/>
      <w:marBottom w:val="0"/>
      <w:divBdr>
        <w:top w:val="none" w:sz="0" w:space="0" w:color="auto"/>
        <w:left w:val="none" w:sz="0" w:space="0" w:color="auto"/>
        <w:bottom w:val="none" w:sz="0" w:space="0" w:color="auto"/>
        <w:right w:val="none" w:sz="0" w:space="0" w:color="auto"/>
      </w:divBdr>
    </w:div>
    <w:div w:id="2068795056">
      <w:bodyDiv w:val="1"/>
      <w:marLeft w:val="0"/>
      <w:marRight w:val="0"/>
      <w:marTop w:val="0"/>
      <w:marBottom w:val="0"/>
      <w:divBdr>
        <w:top w:val="none" w:sz="0" w:space="0" w:color="auto"/>
        <w:left w:val="none" w:sz="0" w:space="0" w:color="auto"/>
        <w:bottom w:val="none" w:sz="0" w:space="0" w:color="auto"/>
        <w:right w:val="none" w:sz="0" w:space="0" w:color="auto"/>
      </w:divBdr>
      <w:divsChild>
        <w:div w:id="955910082">
          <w:marLeft w:val="0"/>
          <w:marRight w:val="0"/>
          <w:marTop w:val="0"/>
          <w:marBottom w:val="0"/>
          <w:divBdr>
            <w:top w:val="none" w:sz="0" w:space="0" w:color="auto"/>
            <w:left w:val="none" w:sz="0" w:space="0" w:color="auto"/>
            <w:bottom w:val="none" w:sz="0" w:space="0" w:color="auto"/>
            <w:right w:val="none" w:sz="0" w:space="0" w:color="auto"/>
          </w:divBdr>
          <w:divsChild>
            <w:div w:id="274679334">
              <w:marLeft w:val="0"/>
              <w:marRight w:val="0"/>
              <w:marTop w:val="0"/>
              <w:marBottom w:val="0"/>
              <w:divBdr>
                <w:top w:val="none" w:sz="0" w:space="0" w:color="auto"/>
                <w:left w:val="none" w:sz="0" w:space="0" w:color="auto"/>
                <w:bottom w:val="none" w:sz="0" w:space="0" w:color="auto"/>
                <w:right w:val="none" w:sz="0" w:space="0" w:color="auto"/>
              </w:divBdr>
              <w:divsChild>
                <w:div w:id="872959642">
                  <w:marLeft w:val="0"/>
                  <w:marRight w:val="0"/>
                  <w:marTop w:val="0"/>
                  <w:marBottom w:val="0"/>
                  <w:divBdr>
                    <w:top w:val="none" w:sz="0" w:space="0" w:color="auto"/>
                    <w:left w:val="none" w:sz="0" w:space="0" w:color="auto"/>
                    <w:bottom w:val="none" w:sz="0" w:space="0" w:color="auto"/>
                    <w:right w:val="none" w:sz="0" w:space="0" w:color="auto"/>
                  </w:divBdr>
                  <w:divsChild>
                    <w:div w:id="177013067">
                      <w:marLeft w:val="0"/>
                      <w:marRight w:val="0"/>
                      <w:marTop w:val="0"/>
                      <w:marBottom w:val="0"/>
                      <w:divBdr>
                        <w:top w:val="none" w:sz="0" w:space="0" w:color="auto"/>
                        <w:left w:val="none" w:sz="0" w:space="0" w:color="auto"/>
                        <w:bottom w:val="none" w:sz="0" w:space="0" w:color="auto"/>
                        <w:right w:val="none" w:sz="0" w:space="0" w:color="auto"/>
                      </w:divBdr>
                      <w:divsChild>
                        <w:div w:id="1895193089">
                          <w:marLeft w:val="0"/>
                          <w:marRight w:val="0"/>
                          <w:marTop w:val="0"/>
                          <w:marBottom w:val="0"/>
                          <w:divBdr>
                            <w:top w:val="none" w:sz="0" w:space="0" w:color="auto"/>
                            <w:left w:val="none" w:sz="0" w:space="0" w:color="auto"/>
                            <w:bottom w:val="none" w:sz="0" w:space="0" w:color="auto"/>
                            <w:right w:val="none" w:sz="0" w:space="0" w:color="auto"/>
                          </w:divBdr>
                          <w:divsChild>
                            <w:div w:id="1896165192">
                              <w:marLeft w:val="0"/>
                              <w:marRight w:val="0"/>
                              <w:marTop w:val="0"/>
                              <w:marBottom w:val="0"/>
                              <w:divBdr>
                                <w:top w:val="none" w:sz="0" w:space="0" w:color="auto"/>
                                <w:left w:val="none" w:sz="0" w:space="0" w:color="auto"/>
                                <w:bottom w:val="none" w:sz="0" w:space="0" w:color="auto"/>
                                <w:right w:val="none" w:sz="0" w:space="0" w:color="auto"/>
                              </w:divBdr>
                              <w:divsChild>
                                <w:div w:id="206402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519433">
          <w:marLeft w:val="0"/>
          <w:marRight w:val="0"/>
          <w:marTop w:val="0"/>
          <w:marBottom w:val="0"/>
          <w:divBdr>
            <w:top w:val="none" w:sz="0" w:space="0" w:color="auto"/>
            <w:left w:val="none" w:sz="0" w:space="0" w:color="auto"/>
            <w:bottom w:val="none" w:sz="0" w:space="0" w:color="auto"/>
            <w:right w:val="none" w:sz="0" w:space="0" w:color="auto"/>
          </w:divBdr>
          <w:divsChild>
            <w:div w:id="1284727752">
              <w:marLeft w:val="0"/>
              <w:marRight w:val="0"/>
              <w:marTop w:val="0"/>
              <w:marBottom w:val="0"/>
              <w:divBdr>
                <w:top w:val="none" w:sz="0" w:space="0" w:color="auto"/>
                <w:left w:val="none" w:sz="0" w:space="0" w:color="auto"/>
                <w:bottom w:val="none" w:sz="0" w:space="0" w:color="auto"/>
                <w:right w:val="none" w:sz="0" w:space="0" w:color="auto"/>
              </w:divBdr>
              <w:divsChild>
                <w:div w:id="360975620">
                  <w:marLeft w:val="0"/>
                  <w:marRight w:val="0"/>
                  <w:marTop w:val="0"/>
                  <w:marBottom w:val="0"/>
                  <w:divBdr>
                    <w:top w:val="none" w:sz="0" w:space="0" w:color="auto"/>
                    <w:left w:val="none" w:sz="0" w:space="0" w:color="auto"/>
                    <w:bottom w:val="none" w:sz="0" w:space="0" w:color="auto"/>
                    <w:right w:val="none" w:sz="0" w:space="0" w:color="auto"/>
                  </w:divBdr>
                  <w:divsChild>
                    <w:div w:id="1739982512">
                      <w:marLeft w:val="0"/>
                      <w:marRight w:val="0"/>
                      <w:marTop w:val="0"/>
                      <w:marBottom w:val="0"/>
                      <w:divBdr>
                        <w:top w:val="none" w:sz="0" w:space="0" w:color="auto"/>
                        <w:left w:val="none" w:sz="0" w:space="0" w:color="auto"/>
                        <w:bottom w:val="none" w:sz="0" w:space="0" w:color="auto"/>
                        <w:right w:val="none" w:sz="0" w:space="0" w:color="auto"/>
                      </w:divBdr>
                      <w:divsChild>
                        <w:div w:id="1570067942">
                          <w:marLeft w:val="0"/>
                          <w:marRight w:val="0"/>
                          <w:marTop w:val="0"/>
                          <w:marBottom w:val="0"/>
                          <w:divBdr>
                            <w:top w:val="none" w:sz="0" w:space="0" w:color="auto"/>
                            <w:left w:val="none" w:sz="0" w:space="0" w:color="auto"/>
                            <w:bottom w:val="none" w:sz="0" w:space="0" w:color="auto"/>
                            <w:right w:val="none" w:sz="0" w:space="0" w:color="auto"/>
                          </w:divBdr>
                          <w:divsChild>
                            <w:div w:id="152382412">
                              <w:marLeft w:val="0"/>
                              <w:marRight w:val="0"/>
                              <w:marTop w:val="0"/>
                              <w:marBottom w:val="0"/>
                              <w:divBdr>
                                <w:top w:val="none" w:sz="0" w:space="0" w:color="auto"/>
                                <w:left w:val="none" w:sz="0" w:space="0" w:color="auto"/>
                                <w:bottom w:val="none" w:sz="0" w:space="0" w:color="auto"/>
                                <w:right w:val="none" w:sz="0" w:space="0" w:color="auto"/>
                              </w:divBdr>
                              <w:divsChild>
                                <w:div w:id="447701766">
                                  <w:marLeft w:val="0"/>
                                  <w:marRight w:val="0"/>
                                  <w:marTop w:val="0"/>
                                  <w:marBottom w:val="0"/>
                                  <w:divBdr>
                                    <w:top w:val="none" w:sz="0" w:space="0" w:color="auto"/>
                                    <w:left w:val="none" w:sz="0" w:space="0" w:color="auto"/>
                                    <w:bottom w:val="none" w:sz="0" w:space="0" w:color="auto"/>
                                    <w:right w:val="none" w:sz="0" w:space="0" w:color="auto"/>
                                  </w:divBdr>
                                </w:div>
                              </w:divsChild>
                            </w:div>
                            <w:div w:id="1005475111">
                              <w:marLeft w:val="0"/>
                              <w:marRight w:val="0"/>
                              <w:marTop w:val="0"/>
                              <w:marBottom w:val="0"/>
                              <w:divBdr>
                                <w:top w:val="none" w:sz="0" w:space="0" w:color="auto"/>
                                <w:left w:val="none" w:sz="0" w:space="0" w:color="auto"/>
                                <w:bottom w:val="none" w:sz="0" w:space="0" w:color="auto"/>
                                <w:right w:val="none" w:sz="0" w:space="0" w:color="auto"/>
                              </w:divBdr>
                              <w:divsChild>
                                <w:div w:id="997228194">
                                  <w:marLeft w:val="0"/>
                                  <w:marRight w:val="0"/>
                                  <w:marTop w:val="0"/>
                                  <w:marBottom w:val="0"/>
                                  <w:divBdr>
                                    <w:top w:val="none" w:sz="0" w:space="0" w:color="auto"/>
                                    <w:left w:val="none" w:sz="0" w:space="0" w:color="auto"/>
                                    <w:bottom w:val="none" w:sz="0" w:space="0" w:color="auto"/>
                                    <w:right w:val="none" w:sz="0" w:space="0" w:color="auto"/>
                                  </w:divBdr>
                                  <w:divsChild>
                                    <w:div w:id="1258514802">
                                      <w:marLeft w:val="0"/>
                                      <w:marRight w:val="0"/>
                                      <w:marTop w:val="0"/>
                                      <w:marBottom w:val="0"/>
                                      <w:divBdr>
                                        <w:top w:val="none" w:sz="0" w:space="0" w:color="auto"/>
                                        <w:left w:val="none" w:sz="0" w:space="0" w:color="auto"/>
                                        <w:bottom w:val="none" w:sz="0" w:space="0" w:color="auto"/>
                                        <w:right w:val="none" w:sz="0" w:space="0" w:color="auto"/>
                                      </w:divBdr>
                                    </w:div>
                                    <w:div w:id="1322612789">
                                      <w:marLeft w:val="0"/>
                                      <w:marRight w:val="0"/>
                                      <w:marTop w:val="0"/>
                                      <w:marBottom w:val="0"/>
                                      <w:divBdr>
                                        <w:top w:val="none" w:sz="0" w:space="0" w:color="auto"/>
                                        <w:left w:val="none" w:sz="0" w:space="0" w:color="auto"/>
                                        <w:bottom w:val="none" w:sz="0" w:space="0" w:color="auto"/>
                                        <w:right w:val="none" w:sz="0" w:space="0" w:color="auto"/>
                                      </w:divBdr>
                                    </w:div>
                                  </w:divsChild>
                                </w:div>
                                <w:div w:id="101950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813023">
                      <w:marLeft w:val="0"/>
                      <w:marRight w:val="0"/>
                      <w:marTop w:val="0"/>
                      <w:marBottom w:val="0"/>
                      <w:divBdr>
                        <w:top w:val="none" w:sz="0" w:space="0" w:color="auto"/>
                        <w:left w:val="none" w:sz="0" w:space="0" w:color="auto"/>
                        <w:bottom w:val="none" w:sz="0" w:space="0" w:color="auto"/>
                        <w:right w:val="none" w:sz="0" w:space="0" w:color="auto"/>
                      </w:divBdr>
                      <w:divsChild>
                        <w:div w:id="6945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7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WILDE Steven (EEAS-ANKARA)</dc:creator>
  <cp:keywords/>
  <dc:description/>
  <cp:lastModifiedBy>PAPADIMOULI Elina (EEAS-ANKARA)</cp:lastModifiedBy>
  <cp:revision>2</cp:revision>
  <dcterms:created xsi:type="dcterms:W3CDTF">2022-03-11T09:15:00Z</dcterms:created>
  <dcterms:modified xsi:type="dcterms:W3CDTF">2022-03-11T09:15:00Z</dcterms:modified>
</cp:coreProperties>
</file>