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2B2" w:rsidRPr="003B72B2" w:rsidRDefault="003B72B2">
      <w:pPr>
        <w:tabs>
          <w:tab w:val="center" w:pos="2525"/>
        </w:tabs>
        <w:spacing w:after="0" w:line="259" w:lineRule="auto"/>
        <w:ind w:left="0" w:firstLine="0"/>
        <w:jc w:val="left"/>
        <w:rPr>
          <w:rFonts w:asciiTheme="minorBidi" w:hAnsiTheme="minorBidi" w:cstheme="minorBidi"/>
          <w:b/>
          <w:sz w:val="22"/>
        </w:rPr>
      </w:pPr>
      <w:bookmarkStart w:id="0" w:name="_GoBack"/>
      <w:bookmarkEnd w:id="0"/>
    </w:p>
    <w:p w:rsidR="003B72B2" w:rsidRPr="003B72B2" w:rsidRDefault="003B72B2">
      <w:pPr>
        <w:tabs>
          <w:tab w:val="center" w:pos="2525"/>
        </w:tabs>
        <w:spacing w:after="0" w:line="259" w:lineRule="auto"/>
        <w:ind w:left="0" w:firstLine="0"/>
        <w:jc w:val="left"/>
        <w:rPr>
          <w:rFonts w:asciiTheme="minorBidi" w:hAnsiTheme="minorBidi" w:cstheme="minorBidi"/>
          <w:b/>
          <w:sz w:val="22"/>
        </w:rPr>
      </w:pPr>
    </w:p>
    <w:p w:rsidR="00CF26AC" w:rsidRPr="009B7319" w:rsidRDefault="003B72B2" w:rsidP="003B72B2">
      <w:pPr>
        <w:tabs>
          <w:tab w:val="center" w:pos="2525"/>
        </w:tabs>
        <w:spacing w:after="0" w:line="259" w:lineRule="auto"/>
        <w:ind w:left="0" w:firstLine="0"/>
        <w:jc w:val="left"/>
        <w:rPr>
          <w:rFonts w:asciiTheme="minorBidi" w:hAnsiTheme="minorBidi" w:cstheme="minorBidi"/>
          <w:sz w:val="35"/>
          <w:szCs w:val="35"/>
          <w:lang w:val="en-US"/>
        </w:rPr>
      </w:pPr>
      <w:r w:rsidRPr="009B7319">
        <w:rPr>
          <w:rFonts w:asciiTheme="minorBidi" w:hAnsiTheme="minorBidi" w:cstheme="minorBidi"/>
          <w:b/>
          <w:sz w:val="35"/>
          <w:szCs w:val="35"/>
          <w:lang w:val="en-US"/>
        </w:rPr>
        <w:t xml:space="preserve">Resolution XXXX (2022) </w:t>
      </w:r>
    </w:p>
    <w:p w:rsidR="009B7319" w:rsidRDefault="009B7319" w:rsidP="009B7319">
      <w:pPr>
        <w:spacing w:after="165" w:line="259" w:lineRule="auto"/>
        <w:ind w:left="0" w:firstLine="0"/>
        <w:jc w:val="left"/>
        <w:rPr>
          <w:rFonts w:asciiTheme="minorBidi" w:hAnsiTheme="minorBidi" w:cstheme="minorBidi"/>
          <w:sz w:val="22"/>
          <w:lang w:val="en-US"/>
        </w:rPr>
      </w:pPr>
    </w:p>
    <w:p w:rsidR="009B7319" w:rsidRDefault="009B7319" w:rsidP="009B7319">
      <w:pPr>
        <w:spacing w:after="165" w:line="259" w:lineRule="auto"/>
        <w:ind w:left="0" w:firstLine="0"/>
        <w:jc w:val="left"/>
        <w:rPr>
          <w:rFonts w:asciiTheme="minorBidi" w:hAnsiTheme="minorBidi" w:cstheme="minorBidi"/>
          <w:sz w:val="22"/>
          <w:lang w:val="en-US"/>
        </w:rPr>
      </w:pPr>
      <w:r w:rsidRPr="009B7319">
        <w:rPr>
          <w:rFonts w:ascii="Arial" w:hAnsi="Arial" w:cs="Arial"/>
          <w:sz w:val="30"/>
          <w:szCs w:val="30"/>
          <w:lang w:val="en-US"/>
        </w:rPr>
        <w:t xml:space="preserve">Adopted by the Security Council on X June </w:t>
      </w:r>
      <w:r>
        <w:rPr>
          <w:rFonts w:ascii="Arial" w:hAnsi="Arial" w:cs="Arial"/>
          <w:sz w:val="30"/>
          <w:szCs w:val="30"/>
          <w:lang w:val="en-US"/>
        </w:rPr>
        <w:t>2022</w:t>
      </w:r>
    </w:p>
    <w:p w:rsidR="009B7319" w:rsidRPr="009B7319" w:rsidRDefault="009B7319" w:rsidP="009B7319">
      <w:pPr>
        <w:spacing w:after="165" w:line="259" w:lineRule="auto"/>
        <w:ind w:left="0" w:firstLine="0"/>
        <w:jc w:val="left"/>
        <w:rPr>
          <w:rFonts w:asciiTheme="minorBidi" w:hAnsiTheme="minorBidi" w:cstheme="minorBidi"/>
          <w:sz w:val="24"/>
          <w:szCs w:val="24"/>
          <w:lang w:val="en-US"/>
        </w:rPr>
      </w:pPr>
    </w:p>
    <w:p w:rsidR="009B7319" w:rsidRPr="009B7319" w:rsidRDefault="003B72B2" w:rsidP="0014395A">
      <w:pPr>
        <w:spacing w:after="165" w:line="259" w:lineRule="auto"/>
        <w:ind w:left="0" w:firstLine="0"/>
        <w:rPr>
          <w:rFonts w:asciiTheme="minorBidi" w:hAnsiTheme="minorBidi" w:cstheme="minorBidi"/>
          <w:iCs/>
          <w:sz w:val="24"/>
          <w:szCs w:val="24"/>
          <w:lang w:val="en-US"/>
        </w:rPr>
      </w:pPr>
      <w:r w:rsidRPr="009B7319">
        <w:rPr>
          <w:rFonts w:asciiTheme="minorBidi" w:hAnsiTheme="minorBidi" w:cstheme="minorBidi"/>
          <w:iCs/>
          <w:sz w:val="24"/>
          <w:szCs w:val="24"/>
          <w:lang w:val="en-US"/>
        </w:rPr>
        <w:t xml:space="preserve">The Security Council,  </w:t>
      </w:r>
    </w:p>
    <w:p w:rsidR="009B7319" w:rsidRPr="009B7319" w:rsidRDefault="009B7319" w:rsidP="0014395A">
      <w:pPr>
        <w:spacing w:after="165" w:line="259" w:lineRule="auto"/>
        <w:ind w:left="0" w:firstLine="0"/>
        <w:rPr>
          <w:rFonts w:asciiTheme="minorBidi" w:hAnsiTheme="minorBidi" w:cstheme="minorBidi"/>
          <w:sz w:val="24"/>
          <w:szCs w:val="24"/>
          <w:lang w:val="en-US"/>
        </w:rPr>
      </w:pPr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Recalling its resolution </w:t>
      </w:r>
      <w:hyperlink r:id="rId5">
        <w:r w:rsidRPr="009B7319">
          <w:rPr>
            <w:rFonts w:asciiTheme="minorBidi" w:hAnsiTheme="minorBidi" w:cstheme="minorBidi"/>
            <w:color w:val="0000FF"/>
            <w:sz w:val="24"/>
            <w:szCs w:val="24"/>
            <w:lang w:val="en-US"/>
          </w:rPr>
          <w:t>1970 (2011)</w:t>
        </w:r>
      </w:hyperlink>
      <w:hyperlink r:id="rId6">
        <w:r w:rsidRPr="009B7319">
          <w:rPr>
            <w:rFonts w:asciiTheme="minorBidi" w:hAnsiTheme="minorBidi" w:cstheme="minorBidi"/>
            <w:sz w:val="24"/>
            <w:szCs w:val="24"/>
            <w:lang w:val="en-US"/>
          </w:rPr>
          <w:t xml:space="preserve"> </w:t>
        </w:r>
      </w:hyperlink>
      <w:r w:rsidRPr="009B7319">
        <w:rPr>
          <w:rFonts w:asciiTheme="minorBidi" w:hAnsiTheme="minorBidi" w:cstheme="minorBidi"/>
          <w:sz w:val="24"/>
          <w:szCs w:val="24"/>
          <w:lang w:val="en-US"/>
        </w:rPr>
        <w:t>imposing the arms embargo on Libya and all its subsequent relevant resolutions,</w:t>
      </w:r>
    </w:p>
    <w:p w:rsidR="009B7319" w:rsidRPr="009B7319" w:rsidRDefault="009B7319" w:rsidP="0014395A">
      <w:pPr>
        <w:spacing w:after="165" w:line="259" w:lineRule="auto"/>
        <w:ind w:left="0" w:firstLine="0"/>
        <w:rPr>
          <w:rFonts w:asciiTheme="minorBidi" w:hAnsiTheme="minorBidi" w:cstheme="minorBidi"/>
          <w:sz w:val="24"/>
          <w:szCs w:val="24"/>
          <w:lang w:val="en-US"/>
        </w:rPr>
      </w:pPr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Recalling its resolutions </w:t>
      </w:r>
      <w:hyperlink r:id="rId7">
        <w:r w:rsidRPr="009B7319">
          <w:rPr>
            <w:rFonts w:asciiTheme="minorBidi" w:hAnsiTheme="minorBidi" w:cstheme="minorBidi"/>
            <w:color w:val="0000FF"/>
            <w:sz w:val="24"/>
            <w:szCs w:val="24"/>
            <w:lang w:val="en-US"/>
          </w:rPr>
          <w:t>2292 (2016)</w:t>
        </w:r>
      </w:hyperlink>
      <w:hyperlink r:id="rId8">
        <w:r w:rsidRPr="009B7319">
          <w:rPr>
            <w:rFonts w:asciiTheme="minorBidi" w:hAnsiTheme="minorBidi" w:cstheme="minorBidi"/>
            <w:sz w:val="24"/>
            <w:szCs w:val="24"/>
            <w:lang w:val="en-US"/>
          </w:rPr>
          <w:t>,</w:t>
        </w:r>
      </w:hyperlink>
      <w:hyperlink r:id="rId9">
        <w:r w:rsidRPr="009B7319">
          <w:rPr>
            <w:rFonts w:asciiTheme="minorBidi" w:hAnsiTheme="minorBidi" w:cstheme="minorBidi"/>
            <w:sz w:val="24"/>
            <w:szCs w:val="24"/>
            <w:lang w:val="en-US"/>
          </w:rPr>
          <w:t xml:space="preserve"> </w:t>
        </w:r>
      </w:hyperlink>
      <w:hyperlink r:id="rId10">
        <w:r w:rsidRPr="009B7319">
          <w:rPr>
            <w:rFonts w:asciiTheme="minorBidi" w:hAnsiTheme="minorBidi" w:cstheme="minorBidi"/>
            <w:color w:val="0000FF"/>
            <w:sz w:val="24"/>
            <w:szCs w:val="24"/>
            <w:lang w:val="en-US"/>
          </w:rPr>
          <w:t>2357 (2017)</w:t>
        </w:r>
      </w:hyperlink>
      <w:hyperlink r:id="rId11">
        <w:r w:rsidRPr="009B7319">
          <w:rPr>
            <w:rFonts w:asciiTheme="minorBidi" w:hAnsiTheme="minorBidi" w:cstheme="minorBidi"/>
            <w:sz w:val="24"/>
            <w:szCs w:val="24"/>
            <w:lang w:val="en-US"/>
          </w:rPr>
          <w:t>,</w:t>
        </w:r>
      </w:hyperlink>
      <w:hyperlink r:id="rId12">
        <w:r w:rsidRPr="009B7319">
          <w:rPr>
            <w:rFonts w:asciiTheme="minorBidi" w:hAnsiTheme="minorBidi" w:cstheme="minorBidi"/>
            <w:sz w:val="24"/>
            <w:szCs w:val="24"/>
            <w:lang w:val="en-US"/>
          </w:rPr>
          <w:t xml:space="preserve"> </w:t>
        </w:r>
      </w:hyperlink>
      <w:hyperlink r:id="rId13">
        <w:r w:rsidRPr="009B7319">
          <w:rPr>
            <w:rFonts w:asciiTheme="minorBidi" w:hAnsiTheme="minorBidi" w:cstheme="minorBidi"/>
            <w:color w:val="0000FF"/>
            <w:sz w:val="24"/>
            <w:szCs w:val="24"/>
            <w:lang w:val="en-US"/>
          </w:rPr>
          <w:t>2420 (2018)</w:t>
        </w:r>
      </w:hyperlink>
      <w:hyperlink r:id="rId14">
        <w:r w:rsidRPr="009B7319">
          <w:rPr>
            <w:rFonts w:asciiTheme="minorBidi" w:hAnsiTheme="minorBidi" w:cstheme="minorBidi"/>
            <w:sz w:val="24"/>
            <w:szCs w:val="24"/>
            <w:lang w:val="en-US"/>
          </w:rPr>
          <w:t>,</w:t>
        </w:r>
      </w:hyperlink>
      <w:hyperlink r:id="rId15">
        <w:r w:rsidRPr="009B7319">
          <w:rPr>
            <w:rFonts w:asciiTheme="minorBidi" w:hAnsiTheme="minorBidi" w:cstheme="minorBidi"/>
            <w:sz w:val="24"/>
            <w:szCs w:val="24"/>
            <w:lang w:val="en-US"/>
          </w:rPr>
          <w:t xml:space="preserve"> </w:t>
        </w:r>
      </w:hyperlink>
      <w:hyperlink r:id="rId16">
        <w:r w:rsidRPr="009B7319">
          <w:rPr>
            <w:rFonts w:asciiTheme="minorBidi" w:hAnsiTheme="minorBidi" w:cstheme="minorBidi"/>
            <w:color w:val="0000FF"/>
            <w:sz w:val="24"/>
            <w:szCs w:val="24"/>
            <w:lang w:val="en-US"/>
          </w:rPr>
          <w:t>2473 (2019)</w:t>
        </w:r>
      </w:hyperlink>
      <w:r w:rsidRPr="009B7319">
        <w:rPr>
          <w:rFonts w:asciiTheme="minorBidi" w:hAnsiTheme="minorBidi" w:cstheme="minorBidi"/>
          <w:color w:val="0000FF"/>
          <w:sz w:val="24"/>
          <w:szCs w:val="24"/>
          <w:lang w:val="en-US"/>
        </w:rPr>
        <w:t>,</w:t>
      </w:r>
      <w:r w:rsidRPr="009B7319" w:rsidDel="003B72B2">
        <w:rPr>
          <w:rFonts w:asciiTheme="minorBidi" w:hAnsiTheme="minorBidi" w:cstheme="minorBidi"/>
          <w:sz w:val="24"/>
          <w:szCs w:val="24"/>
          <w:lang w:val="en-US"/>
        </w:rPr>
        <w:t xml:space="preserve"> </w:t>
      </w:r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 </w:t>
      </w:r>
      <w:hyperlink r:id="rId17">
        <w:r w:rsidRPr="009B7319">
          <w:rPr>
            <w:rFonts w:asciiTheme="minorBidi" w:hAnsiTheme="minorBidi" w:cstheme="minorBidi"/>
            <w:color w:val="0000FF"/>
            <w:sz w:val="24"/>
            <w:szCs w:val="24"/>
            <w:lang w:val="en-US"/>
          </w:rPr>
          <w:t>2526 (2020)</w:t>
        </w:r>
      </w:hyperlink>
      <w:r w:rsidRPr="009B7319">
        <w:rPr>
          <w:rFonts w:asciiTheme="minorBidi" w:hAnsiTheme="minorBidi" w:cstheme="minorBidi"/>
          <w:color w:val="0000FF"/>
          <w:sz w:val="24"/>
          <w:szCs w:val="24"/>
          <w:lang w:val="en-US"/>
        </w:rPr>
        <w:t xml:space="preserve"> </w:t>
      </w:r>
      <w:r w:rsidRPr="00484947">
        <w:rPr>
          <w:rFonts w:asciiTheme="minorBidi" w:hAnsiTheme="minorBidi" w:cstheme="minorBidi"/>
          <w:color w:val="auto"/>
          <w:sz w:val="24"/>
          <w:szCs w:val="24"/>
          <w:lang w:val="en-US"/>
        </w:rPr>
        <w:t xml:space="preserve">and </w:t>
      </w:r>
      <w:r w:rsidRPr="009B7319">
        <w:rPr>
          <w:rFonts w:asciiTheme="minorBidi" w:hAnsiTheme="minorBidi" w:cstheme="minorBidi"/>
          <w:color w:val="0000FF"/>
          <w:sz w:val="24"/>
          <w:szCs w:val="24"/>
          <w:lang w:val="en-US"/>
        </w:rPr>
        <w:t>2578 (2021)</w:t>
      </w:r>
      <w:hyperlink r:id="rId18">
        <w:r w:rsidRPr="009B7319">
          <w:rPr>
            <w:rFonts w:asciiTheme="minorBidi" w:hAnsiTheme="minorBidi" w:cstheme="minorBidi"/>
            <w:sz w:val="24"/>
            <w:szCs w:val="24"/>
            <w:lang w:val="en-US"/>
          </w:rPr>
          <w:t xml:space="preserve"> </w:t>
        </w:r>
      </w:hyperlink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concerning the strict implementation of the arms embargo on the high seas off the coast of Libya,  </w:t>
      </w:r>
    </w:p>
    <w:p w:rsidR="009B7319" w:rsidRPr="009B7319" w:rsidRDefault="003B72B2" w:rsidP="0014395A">
      <w:pPr>
        <w:tabs>
          <w:tab w:val="center" w:pos="1268"/>
          <w:tab w:val="center" w:pos="4611"/>
        </w:tabs>
        <w:ind w:left="0" w:firstLine="0"/>
        <w:rPr>
          <w:rFonts w:asciiTheme="minorBidi" w:hAnsiTheme="minorBidi" w:cstheme="minorBidi"/>
          <w:iCs/>
          <w:sz w:val="24"/>
          <w:szCs w:val="24"/>
          <w:lang w:val="en-US"/>
        </w:rPr>
      </w:pPr>
      <w:r w:rsidRPr="009B7319">
        <w:rPr>
          <w:rFonts w:asciiTheme="minorBidi" w:hAnsiTheme="minorBidi" w:cstheme="minorBidi"/>
          <w:iCs/>
          <w:sz w:val="24"/>
          <w:szCs w:val="24"/>
          <w:lang w:val="en-US"/>
        </w:rPr>
        <w:t xml:space="preserve">Reaffirming its resolution </w:t>
      </w:r>
      <w:hyperlink r:id="rId19">
        <w:r w:rsidRPr="009B7319">
          <w:rPr>
            <w:rFonts w:asciiTheme="minorBidi" w:hAnsiTheme="minorBidi" w:cstheme="minorBidi"/>
            <w:iCs/>
            <w:color w:val="0000FF"/>
            <w:sz w:val="24"/>
            <w:szCs w:val="24"/>
            <w:lang w:val="en-US"/>
          </w:rPr>
          <w:t>2570 (2021)</w:t>
        </w:r>
      </w:hyperlink>
      <w:hyperlink r:id="rId20">
        <w:r w:rsidRPr="009B7319">
          <w:rPr>
            <w:rFonts w:asciiTheme="minorBidi" w:hAnsiTheme="minorBidi" w:cstheme="minorBidi"/>
            <w:iCs/>
            <w:sz w:val="24"/>
            <w:szCs w:val="24"/>
            <w:lang w:val="en-US"/>
          </w:rPr>
          <w:t>,</w:t>
        </w:r>
      </w:hyperlink>
    </w:p>
    <w:p w:rsidR="009B7319" w:rsidRPr="009B7319" w:rsidRDefault="003B72B2" w:rsidP="0014395A">
      <w:pPr>
        <w:tabs>
          <w:tab w:val="center" w:pos="1268"/>
          <w:tab w:val="center" w:pos="4611"/>
        </w:tabs>
        <w:ind w:left="0" w:firstLine="0"/>
        <w:rPr>
          <w:rFonts w:asciiTheme="minorBidi" w:hAnsiTheme="minorBidi" w:cstheme="minorBidi"/>
          <w:sz w:val="24"/>
          <w:szCs w:val="24"/>
          <w:lang w:val="en-US"/>
        </w:rPr>
      </w:pPr>
      <w:r w:rsidRPr="009B7319">
        <w:rPr>
          <w:rFonts w:asciiTheme="minorBidi" w:hAnsiTheme="minorBidi" w:cstheme="minorBidi"/>
          <w:iCs/>
          <w:sz w:val="24"/>
          <w:szCs w:val="24"/>
          <w:lang w:val="en-US"/>
        </w:rPr>
        <w:t>Recognizing</w:t>
      </w:r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 the important role of </w:t>
      </w:r>
      <w:proofErr w:type="spellStart"/>
      <w:r w:rsidRPr="009B7319">
        <w:rPr>
          <w:rFonts w:asciiTheme="minorBidi" w:hAnsiTheme="minorBidi" w:cstheme="minorBidi"/>
          <w:sz w:val="24"/>
          <w:szCs w:val="24"/>
          <w:lang w:val="en-US"/>
        </w:rPr>
        <w:t>neighbouring</w:t>
      </w:r>
      <w:proofErr w:type="spellEnd"/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 countries and regional organizations, </w:t>
      </w:r>
    </w:p>
    <w:p w:rsidR="009B7319" w:rsidRPr="009B7319" w:rsidRDefault="003B72B2" w:rsidP="0014395A">
      <w:pPr>
        <w:tabs>
          <w:tab w:val="center" w:pos="1268"/>
          <w:tab w:val="center" w:pos="4611"/>
        </w:tabs>
        <w:ind w:left="0" w:firstLine="0"/>
        <w:rPr>
          <w:rFonts w:asciiTheme="minorBidi" w:hAnsiTheme="minorBidi" w:cstheme="minorBidi"/>
          <w:sz w:val="24"/>
          <w:szCs w:val="24"/>
          <w:lang w:val="en-US"/>
        </w:rPr>
      </w:pPr>
      <w:r w:rsidRPr="009B7319">
        <w:rPr>
          <w:rFonts w:asciiTheme="minorBidi" w:hAnsiTheme="minorBidi" w:cstheme="minorBidi"/>
          <w:iCs/>
          <w:sz w:val="24"/>
          <w:szCs w:val="24"/>
          <w:lang w:val="en-US"/>
        </w:rPr>
        <w:t>Mindful</w:t>
      </w:r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 of its primary responsibility for the maintenance of international peace and security under the Charter of the United Nations,  </w:t>
      </w:r>
    </w:p>
    <w:p w:rsidR="009B7319" w:rsidRPr="009B7319" w:rsidRDefault="003B72B2" w:rsidP="0014395A">
      <w:pPr>
        <w:tabs>
          <w:tab w:val="center" w:pos="1268"/>
          <w:tab w:val="center" w:pos="4611"/>
        </w:tabs>
        <w:ind w:left="0" w:firstLine="0"/>
        <w:rPr>
          <w:rFonts w:asciiTheme="minorBidi" w:hAnsiTheme="minorBidi" w:cstheme="minorBidi"/>
          <w:sz w:val="24"/>
          <w:szCs w:val="24"/>
          <w:lang w:val="en-US"/>
        </w:rPr>
      </w:pPr>
      <w:r w:rsidRPr="009B7319">
        <w:rPr>
          <w:rFonts w:asciiTheme="minorBidi" w:hAnsiTheme="minorBidi" w:cstheme="minorBidi"/>
          <w:iCs/>
          <w:sz w:val="24"/>
          <w:szCs w:val="24"/>
          <w:lang w:val="en-US"/>
        </w:rPr>
        <w:t>Reaffirming</w:t>
      </w:r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 its determination that terrorism, in all forms and manifestations, constitutes one of the most serious threats to peace and security,  </w:t>
      </w:r>
    </w:p>
    <w:p w:rsidR="009B7319" w:rsidRPr="009B7319" w:rsidRDefault="003B72B2" w:rsidP="0014395A">
      <w:pPr>
        <w:tabs>
          <w:tab w:val="center" w:pos="1268"/>
          <w:tab w:val="center" w:pos="4611"/>
        </w:tabs>
        <w:ind w:left="0" w:firstLine="0"/>
        <w:rPr>
          <w:rFonts w:asciiTheme="minorBidi" w:hAnsiTheme="minorBidi" w:cstheme="minorBidi"/>
          <w:sz w:val="24"/>
          <w:szCs w:val="24"/>
          <w:lang w:val="en-US"/>
        </w:rPr>
      </w:pPr>
      <w:r w:rsidRPr="009B7319">
        <w:rPr>
          <w:rFonts w:asciiTheme="minorBidi" w:hAnsiTheme="minorBidi" w:cstheme="minorBidi"/>
          <w:iCs/>
          <w:sz w:val="24"/>
          <w:szCs w:val="24"/>
          <w:lang w:val="en-US"/>
        </w:rPr>
        <w:t>Acting</w:t>
      </w:r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 under Chapter VII of the Charter of the United Nations,  </w:t>
      </w:r>
    </w:p>
    <w:p w:rsidR="009B7319" w:rsidRPr="009B7319" w:rsidRDefault="009B7319" w:rsidP="0014395A">
      <w:pPr>
        <w:tabs>
          <w:tab w:val="center" w:pos="1268"/>
          <w:tab w:val="center" w:pos="4611"/>
        </w:tabs>
        <w:ind w:left="0" w:firstLine="0"/>
        <w:rPr>
          <w:rFonts w:asciiTheme="minorBidi" w:hAnsiTheme="minorBidi" w:cstheme="minorBidi"/>
          <w:sz w:val="24"/>
          <w:szCs w:val="24"/>
          <w:lang w:val="en-US"/>
        </w:rPr>
      </w:pPr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1. </w:t>
      </w:r>
      <w:r w:rsidR="003B72B2" w:rsidRPr="009B7319">
        <w:rPr>
          <w:rFonts w:asciiTheme="minorBidi" w:hAnsiTheme="minorBidi" w:cstheme="minorBidi"/>
          <w:iCs/>
          <w:sz w:val="24"/>
          <w:szCs w:val="24"/>
          <w:lang w:val="en-US"/>
        </w:rPr>
        <w:t>Decides</w:t>
      </w:r>
      <w:r w:rsidR="003B72B2" w:rsidRPr="009B7319">
        <w:rPr>
          <w:rFonts w:asciiTheme="minorBidi" w:hAnsiTheme="minorBidi" w:cstheme="minorBidi"/>
          <w:sz w:val="24"/>
          <w:szCs w:val="24"/>
          <w:lang w:val="en-US"/>
        </w:rPr>
        <w:t xml:space="preserve"> to extend the authorizations as set out in resolution </w:t>
      </w:r>
      <w:hyperlink r:id="rId21">
        <w:r w:rsidR="003B72B2" w:rsidRPr="009B7319">
          <w:rPr>
            <w:rFonts w:asciiTheme="minorBidi" w:hAnsiTheme="minorBidi" w:cstheme="minorBidi"/>
            <w:color w:val="0000FF"/>
            <w:sz w:val="24"/>
            <w:szCs w:val="24"/>
            <w:lang w:val="en-US"/>
          </w:rPr>
          <w:t>2578 (2021)</w:t>
        </w:r>
      </w:hyperlink>
      <w:hyperlink r:id="rId22">
        <w:r w:rsidR="003B72B2" w:rsidRPr="009B7319">
          <w:rPr>
            <w:rFonts w:asciiTheme="minorBidi" w:hAnsiTheme="minorBidi" w:cstheme="minorBidi"/>
            <w:sz w:val="24"/>
            <w:szCs w:val="24"/>
            <w:lang w:val="en-US"/>
          </w:rPr>
          <w:t xml:space="preserve"> </w:t>
        </w:r>
      </w:hyperlink>
      <w:r w:rsidR="003B72B2" w:rsidRPr="009B7319">
        <w:rPr>
          <w:rFonts w:asciiTheme="minorBidi" w:hAnsiTheme="minorBidi" w:cstheme="minorBidi"/>
          <w:sz w:val="24"/>
          <w:szCs w:val="24"/>
          <w:lang w:val="en-US"/>
        </w:rPr>
        <w:t xml:space="preserve">for a further 12 months from the date of this resolution;  </w:t>
      </w:r>
    </w:p>
    <w:p w:rsidR="009B7319" w:rsidRPr="009B7319" w:rsidRDefault="009B7319" w:rsidP="0014395A">
      <w:pPr>
        <w:tabs>
          <w:tab w:val="center" w:pos="1268"/>
          <w:tab w:val="center" w:pos="4611"/>
        </w:tabs>
        <w:ind w:left="0" w:firstLine="0"/>
        <w:rPr>
          <w:rFonts w:asciiTheme="minorBidi" w:hAnsiTheme="minorBidi" w:cstheme="minorBidi"/>
          <w:sz w:val="24"/>
          <w:szCs w:val="24"/>
          <w:lang w:val="en-US"/>
        </w:rPr>
      </w:pPr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2. </w:t>
      </w:r>
      <w:r w:rsidR="003B72B2" w:rsidRPr="009B7319">
        <w:rPr>
          <w:rFonts w:asciiTheme="minorBidi" w:hAnsiTheme="minorBidi" w:cstheme="minorBidi"/>
          <w:iCs/>
          <w:sz w:val="24"/>
          <w:szCs w:val="24"/>
          <w:lang w:val="en-US"/>
        </w:rPr>
        <w:t>Requests</w:t>
      </w:r>
      <w:r w:rsidR="003B72B2" w:rsidRPr="009B7319">
        <w:rPr>
          <w:rFonts w:asciiTheme="minorBidi" w:hAnsiTheme="minorBidi" w:cstheme="minorBidi"/>
          <w:sz w:val="24"/>
          <w:szCs w:val="24"/>
          <w:lang w:val="en-US"/>
        </w:rPr>
        <w:t xml:space="preserve"> the Secretary-General to report to the Security Council </w:t>
      </w:r>
      <w:r w:rsidR="00484947">
        <w:rPr>
          <w:rFonts w:asciiTheme="minorBidi" w:hAnsiTheme="minorBidi" w:cstheme="minorBidi"/>
          <w:sz w:val="24"/>
          <w:szCs w:val="24"/>
          <w:lang w:val="en-US"/>
        </w:rPr>
        <w:t>six months and</w:t>
      </w:r>
      <w:r w:rsidR="00484947" w:rsidRPr="009B7319">
        <w:rPr>
          <w:rFonts w:asciiTheme="minorBidi" w:hAnsiTheme="minorBidi" w:cstheme="minorBidi"/>
          <w:sz w:val="24"/>
          <w:szCs w:val="24"/>
          <w:lang w:val="en-US"/>
        </w:rPr>
        <w:t xml:space="preserve"> </w:t>
      </w:r>
      <w:r w:rsidR="003B72B2" w:rsidRPr="009B7319">
        <w:rPr>
          <w:rFonts w:asciiTheme="minorBidi" w:hAnsiTheme="minorBidi" w:cstheme="minorBidi"/>
          <w:sz w:val="24"/>
          <w:szCs w:val="24"/>
          <w:lang w:val="en-US"/>
        </w:rPr>
        <w:t xml:space="preserve">eleven months </w:t>
      </w:r>
      <w:r w:rsidR="00484947">
        <w:rPr>
          <w:rFonts w:asciiTheme="minorBidi" w:hAnsiTheme="minorBidi" w:cstheme="minorBidi"/>
          <w:sz w:val="24"/>
          <w:szCs w:val="24"/>
          <w:lang w:val="en-US"/>
        </w:rPr>
        <w:t>after</w:t>
      </w:r>
      <w:r w:rsidR="00484947" w:rsidRPr="009B7319">
        <w:rPr>
          <w:rFonts w:asciiTheme="minorBidi" w:hAnsiTheme="minorBidi" w:cstheme="minorBidi"/>
          <w:sz w:val="24"/>
          <w:szCs w:val="24"/>
          <w:lang w:val="en-US"/>
        </w:rPr>
        <w:t xml:space="preserve"> </w:t>
      </w:r>
      <w:r w:rsidR="003B72B2" w:rsidRPr="009B7319">
        <w:rPr>
          <w:rFonts w:asciiTheme="minorBidi" w:hAnsiTheme="minorBidi" w:cstheme="minorBidi"/>
          <w:sz w:val="24"/>
          <w:szCs w:val="24"/>
          <w:lang w:val="en-US"/>
        </w:rPr>
        <w:t xml:space="preserve">the adoption of this resolution on its implementation;  </w:t>
      </w:r>
    </w:p>
    <w:p w:rsidR="00CF26AC" w:rsidRPr="009B7319" w:rsidRDefault="009B7319" w:rsidP="0014395A">
      <w:pPr>
        <w:tabs>
          <w:tab w:val="center" w:pos="1268"/>
          <w:tab w:val="center" w:pos="4611"/>
        </w:tabs>
        <w:ind w:left="0" w:firstLine="0"/>
        <w:rPr>
          <w:rFonts w:asciiTheme="minorBidi" w:hAnsiTheme="minorBidi" w:cstheme="minorBidi"/>
          <w:sz w:val="24"/>
          <w:szCs w:val="24"/>
          <w:lang w:val="en-US"/>
        </w:rPr>
      </w:pPr>
      <w:r w:rsidRPr="009B7319">
        <w:rPr>
          <w:rFonts w:asciiTheme="minorBidi" w:hAnsiTheme="minorBidi" w:cstheme="minorBidi"/>
          <w:sz w:val="24"/>
          <w:szCs w:val="24"/>
          <w:lang w:val="en-US"/>
        </w:rPr>
        <w:t xml:space="preserve">3. </w:t>
      </w:r>
      <w:r w:rsidR="003B72B2" w:rsidRPr="009B7319">
        <w:rPr>
          <w:rFonts w:asciiTheme="minorBidi" w:hAnsiTheme="minorBidi" w:cstheme="minorBidi"/>
          <w:iCs/>
          <w:sz w:val="24"/>
          <w:szCs w:val="24"/>
          <w:lang w:val="en-US"/>
        </w:rPr>
        <w:t>Decides</w:t>
      </w:r>
      <w:r w:rsidR="003B72B2" w:rsidRPr="009B7319">
        <w:rPr>
          <w:rFonts w:asciiTheme="minorBidi" w:hAnsiTheme="minorBidi" w:cstheme="minorBidi"/>
          <w:sz w:val="24"/>
          <w:szCs w:val="24"/>
          <w:lang w:val="en-US"/>
        </w:rPr>
        <w:t xml:space="preserve"> to remain actively seized of the matter. </w:t>
      </w:r>
    </w:p>
    <w:p w:rsidR="00CF26AC" w:rsidRPr="003B72B2" w:rsidRDefault="003B72B2">
      <w:pPr>
        <w:spacing w:after="0" w:line="259" w:lineRule="auto"/>
        <w:ind w:left="1268" w:firstLine="0"/>
        <w:jc w:val="left"/>
        <w:rPr>
          <w:rFonts w:asciiTheme="minorBidi" w:hAnsiTheme="minorBidi" w:cstheme="minorBidi"/>
          <w:sz w:val="22"/>
          <w:lang w:val="en-US"/>
        </w:rPr>
      </w:pPr>
      <w:r w:rsidRPr="003B72B2">
        <w:rPr>
          <w:rFonts w:asciiTheme="minorBidi" w:hAnsiTheme="minorBidi" w:cstheme="minorBidi"/>
          <w:sz w:val="22"/>
          <w:lang w:val="en-US"/>
        </w:rPr>
        <w:t xml:space="preserve"> </w:t>
      </w:r>
    </w:p>
    <w:sectPr w:rsidR="00CF26AC" w:rsidRPr="003B72B2">
      <w:pgSz w:w="12240" w:h="15840"/>
      <w:pgMar w:top="853" w:right="2472" w:bottom="144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4054B"/>
    <w:multiLevelType w:val="hybridMultilevel"/>
    <w:tmpl w:val="7B864F36"/>
    <w:lvl w:ilvl="0" w:tplc="40209C12">
      <w:start w:val="1"/>
      <w:numFmt w:val="decimal"/>
      <w:lvlText w:val="%1."/>
      <w:lvlJc w:val="left"/>
      <w:pPr>
        <w:ind w:left="1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48F8B0">
      <w:start w:val="1"/>
      <w:numFmt w:val="lowerLetter"/>
      <w:lvlText w:val="%2"/>
      <w:lvlJc w:val="left"/>
      <w:pPr>
        <w:ind w:left="2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864352">
      <w:start w:val="1"/>
      <w:numFmt w:val="lowerRoman"/>
      <w:lvlText w:val="%3"/>
      <w:lvlJc w:val="left"/>
      <w:pPr>
        <w:ind w:left="3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2650B4">
      <w:start w:val="1"/>
      <w:numFmt w:val="decimal"/>
      <w:lvlText w:val="%4"/>
      <w:lvlJc w:val="left"/>
      <w:pPr>
        <w:ind w:left="4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1631C0">
      <w:start w:val="1"/>
      <w:numFmt w:val="lowerLetter"/>
      <w:lvlText w:val="%5"/>
      <w:lvlJc w:val="left"/>
      <w:pPr>
        <w:ind w:left="4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AE2BC4">
      <w:start w:val="1"/>
      <w:numFmt w:val="lowerRoman"/>
      <w:lvlText w:val="%6"/>
      <w:lvlJc w:val="left"/>
      <w:pPr>
        <w:ind w:left="5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D61C3C">
      <w:start w:val="1"/>
      <w:numFmt w:val="decimal"/>
      <w:lvlText w:val="%7"/>
      <w:lvlJc w:val="left"/>
      <w:pPr>
        <w:ind w:left="6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3A5334">
      <w:start w:val="1"/>
      <w:numFmt w:val="lowerLetter"/>
      <w:lvlText w:val="%8"/>
      <w:lvlJc w:val="left"/>
      <w:pPr>
        <w:ind w:left="7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0A1E48">
      <w:start w:val="1"/>
      <w:numFmt w:val="lowerRoman"/>
      <w:lvlText w:val="%9"/>
      <w:lvlJc w:val="left"/>
      <w:pPr>
        <w:ind w:left="7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AC"/>
    <w:rsid w:val="0014395A"/>
    <w:rsid w:val="003B72B2"/>
    <w:rsid w:val="004462F2"/>
    <w:rsid w:val="00484947"/>
    <w:rsid w:val="00657AC0"/>
    <w:rsid w:val="008A00FB"/>
    <w:rsid w:val="008E78FD"/>
    <w:rsid w:val="00943B98"/>
    <w:rsid w:val="009B7319"/>
    <w:rsid w:val="00BA73EE"/>
    <w:rsid w:val="00C82239"/>
    <w:rsid w:val="00CF26AC"/>
    <w:rsid w:val="00D1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CA088-29CC-40B3-9F41-B0E9006D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3" w:line="280" w:lineRule="auto"/>
      <w:ind w:left="1278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8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b/>
      <w:color w:val="000000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72B2"/>
    <w:rPr>
      <w:rFonts w:ascii="Segoe UI" w:eastAsia="Times New Roman" w:hAnsi="Segoe UI" w:cs="Segoe UI"/>
      <w:color w:val="000000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B7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docs.org/en/S/RES/2292(2016)" TargetMode="External"/><Relationship Id="rId13" Type="http://schemas.openxmlformats.org/officeDocument/2006/relationships/hyperlink" Target="https://undocs.org/en/S/RES/2420(2018)" TargetMode="External"/><Relationship Id="rId18" Type="http://schemas.openxmlformats.org/officeDocument/2006/relationships/hyperlink" Target="https://undocs.org/en/S/RES/2526(2020)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ndocs.org/en/S/RES/2526(2020)" TargetMode="External"/><Relationship Id="rId7" Type="http://schemas.openxmlformats.org/officeDocument/2006/relationships/hyperlink" Target="https://undocs.org/en/S/RES/2292(2016)" TargetMode="External"/><Relationship Id="rId12" Type="http://schemas.openxmlformats.org/officeDocument/2006/relationships/hyperlink" Target="https://undocs.org/en/S/RES/2420(2018)" TargetMode="External"/><Relationship Id="rId17" Type="http://schemas.openxmlformats.org/officeDocument/2006/relationships/hyperlink" Target="https://undocs.org/en/S/RES/2526(2020)" TargetMode="External"/><Relationship Id="rId2" Type="http://schemas.openxmlformats.org/officeDocument/2006/relationships/styles" Target="styles.xml"/><Relationship Id="rId16" Type="http://schemas.openxmlformats.org/officeDocument/2006/relationships/hyperlink" Target="https://undocs.org/en/S/RES/2473(2019)" TargetMode="External"/><Relationship Id="rId20" Type="http://schemas.openxmlformats.org/officeDocument/2006/relationships/hyperlink" Target="https://undocs.org/en/S/RES/2570(2021)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ndocs.org/en/S/RES/1970(2011)" TargetMode="External"/><Relationship Id="rId11" Type="http://schemas.openxmlformats.org/officeDocument/2006/relationships/hyperlink" Target="https://undocs.org/en/S/RES/2357(2017)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undocs.org/en/S/RES/1970(2011)" TargetMode="External"/><Relationship Id="rId15" Type="http://schemas.openxmlformats.org/officeDocument/2006/relationships/hyperlink" Target="https://undocs.org/en/S/RES/2473(2019)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ndocs.org/en/S/RES/2357(2017)" TargetMode="External"/><Relationship Id="rId19" Type="http://schemas.openxmlformats.org/officeDocument/2006/relationships/hyperlink" Target="https://undocs.org/en/S/RES/2570(2021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ndocs.org/en/S/RES/2357(2017)" TargetMode="External"/><Relationship Id="rId14" Type="http://schemas.openxmlformats.org/officeDocument/2006/relationships/hyperlink" Target="https://undocs.org/en/S/RES/2420(2018)" TargetMode="External"/><Relationship Id="rId22" Type="http://schemas.openxmlformats.org/officeDocument/2006/relationships/hyperlink" Target="https://undocs.org/en/S/RES/2526(2020)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M.E.A.E.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</dc:creator>
  <cp:keywords/>
  <cp:lastModifiedBy>Leïla</cp:lastModifiedBy>
  <cp:revision>2</cp:revision>
  <cp:lastPrinted>2022-05-31T13:36:00Z</cp:lastPrinted>
  <dcterms:created xsi:type="dcterms:W3CDTF">2022-06-01T21:27:00Z</dcterms:created>
  <dcterms:modified xsi:type="dcterms:W3CDTF">2022-06-01T21:27:00Z</dcterms:modified>
</cp:coreProperties>
</file>