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1BB" w:rsidRDefault="009431BB"/>
    <w:p w:rsidR="00B034F7" w:rsidRPr="00B034F7" w:rsidRDefault="00B034F7" w:rsidP="00B034F7">
      <w:pPr>
        <w:pStyle w:val="PlainText"/>
        <w:jc w:val="center"/>
        <w:rPr>
          <w:b/>
          <w:i/>
        </w:rPr>
      </w:pPr>
      <w:r w:rsidRPr="00B034F7">
        <w:rPr>
          <w:b/>
          <w:i/>
        </w:rPr>
        <w:t>Informal t</w:t>
      </w:r>
      <w:r w:rsidRPr="00B034F7">
        <w:rPr>
          <w:b/>
          <w:i/>
        </w:rPr>
        <w:t>ranslation</w:t>
      </w:r>
    </w:p>
    <w:p w:rsidR="00B034F7" w:rsidRDefault="00B034F7" w:rsidP="00B034F7">
      <w:pPr>
        <w:pStyle w:val="PlainText"/>
      </w:pPr>
    </w:p>
    <w:p w:rsidR="00B034F7" w:rsidRPr="00C14491" w:rsidRDefault="00B034F7" w:rsidP="00B034F7">
      <w:pPr>
        <w:pStyle w:val="PlainText"/>
        <w:jc w:val="center"/>
        <w:rPr>
          <w:b/>
          <w:sz w:val="24"/>
          <w:szCs w:val="24"/>
        </w:rPr>
      </w:pPr>
      <w:r w:rsidRPr="00C14491">
        <w:rPr>
          <w:b/>
          <w:sz w:val="24"/>
          <w:szCs w:val="24"/>
        </w:rPr>
        <w:t>F</w:t>
      </w:r>
      <w:r w:rsidRPr="00C14491">
        <w:rPr>
          <w:b/>
          <w:sz w:val="24"/>
          <w:szCs w:val="24"/>
        </w:rPr>
        <w:t xml:space="preserve">ull text of the press statement issued at the conclusion of the ministerial conference “Supporting the stability of Libya” delivered by the Minister of Foreign Affairs and International Cooperation, Mrs. </w:t>
      </w:r>
      <w:proofErr w:type="spellStart"/>
      <w:r w:rsidRPr="00C14491">
        <w:rPr>
          <w:b/>
          <w:sz w:val="24"/>
          <w:szCs w:val="24"/>
        </w:rPr>
        <w:t>Najla</w:t>
      </w:r>
      <w:proofErr w:type="spellEnd"/>
      <w:r w:rsidRPr="00C14491">
        <w:rPr>
          <w:b/>
          <w:sz w:val="24"/>
          <w:szCs w:val="24"/>
        </w:rPr>
        <w:t xml:space="preserve"> Al-</w:t>
      </w:r>
      <w:proofErr w:type="spellStart"/>
      <w:r w:rsidRPr="00C14491">
        <w:rPr>
          <w:b/>
          <w:sz w:val="24"/>
          <w:szCs w:val="24"/>
        </w:rPr>
        <w:t>Manqoush</w:t>
      </w:r>
      <w:bookmarkStart w:id="0" w:name="_GoBack"/>
      <w:bookmarkEnd w:id="0"/>
      <w:proofErr w:type="spellEnd"/>
    </w:p>
    <w:p w:rsidR="00B034F7" w:rsidRPr="00C14491" w:rsidRDefault="00B034F7" w:rsidP="00B034F7">
      <w:pPr>
        <w:pStyle w:val="PlainText"/>
        <w:rPr>
          <w:sz w:val="24"/>
          <w:szCs w:val="24"/>
        </w:rPr>
      </w:pPr>
    </w:p>
    <w:p w:rsidR="00B034F7" w:rsidRDefault="00B034F7" w:rsidP="00B034F7">
      <w:pPr>
        <w:pStyle w:val="PlainText"/>
      </w:pPr>
    </w:p>
    <w:p w:rsidR="00C14491" w:rsidRDefault="00C14491" w:rsidP="00B034F7">
      <w:pPr>
        <w:pStyle w:val="PlainText"/>
      </w:pPr>
    </w:p>
    <w:p w:rsidR="00B034F7" w:rsidRDefault="00B034F7" w:rsidP="00B034F7">
      <w:pPr>
        <w:pStyle w:val="PlainText"/>
        <w:jc w:val="both"/>
      </w:pPr>
    </w:p>
    <w:p w:rsidR="00B034F7" w:rsidRDefault="00B034F7" w:rsidP="00B034F7">
      <w:pPr>
        <w:pStyle w:val="PlainText"/>
        <w:jc w:val="both"/>
      </w:pPr>
      <w:r>
        <w:t>Tripoli, Thursday, October 21, 2021.</w:t>
      </w:r>
    </w:p>
    <w:p w:rsidR="00B034F7" w:rsidRDefault="00B034F7" w:rsidP="00B034F7">
      <w:pPr>
        <w:pStyle w:val="PlainText"/>
        <w:jc w:val="both"/>
      </w:pPr>
    </w:p>
    <w:p w:rsidR="00B034F7" w:rsidRDefault="00B034F7" w:rsidP="00B034F7">
      <w:pPr>
        <w:pStyle w:val="PlainText"/>
        <w:jc w:val="both"/>
      </w:pPr>
      <w:r>
        <w:t xml:space="preserve">Today in Libya, we were </w:t>
      </w:r>
      <w:r>
        <w:t>honoured</w:t>
      </w:r>
      <w:r>
        <w:t xml:space="preserve"> by the presence of high-level representatives of governments participating in the ministerial conference on the Libya Stability Initiative.</w:t>
      </w:r>
    </w:p>
    <w:p w:rsidR="00B034F7" w:rsidRDefault="00B034F7" w:rsidP="00B034F7">
      <w:pPr>
        <w:pStyle w:val="PlainText"/>
        <w:jc w:val="both"/>
      </w:pPr>
    </w:p>
    <w:p w:rsidR="00B034F7" w:rsidRDefault="00B034F7" w:rsidP="00B034F7">
      <w:pPr>
        <w:pStyle w:val="PlainText"/>
        <w:jc w:val="both"/>
      </w:pPr>
      <w:r>
        <w:t>The following points were emphasized:</w:t>
      </w:r>
    </w:p>
    <w:p w:rsidR="00B034F7" w:rsidRDefault="00B034F7" w:rsidP="00B034F7">
      <w:pPr>
        <w:pStyle w:val="PlainText"/>
        <w:jc w:val="both"/>
      </w:pPr>
    </w:p>
    <w:p w:rsidR="00B034F7" w:rsidRDefault="00B034F7" w:rsidP="00B034F7">
      <w:pPr>
        <w:pStyle w:val="PlainText"/>
        <w:jc w:val="both"/>
      </w:pPr>
      <w:r>
        <w:t>1- The permanent, firm and strong commitment of the Government of National Unity to the sovereignty, independence, territorial integrity and national unity of Libya, and its categorical rejection of foreign interference in Libyan affairs, and its condemnation of attempts to violate the arms embargo and foment chaos in Libya.</w:t>
      </w:r>
    </w:p>
    <w:p w:rsidR="00B034F7" w:rsidRDefault="00B034F7" w:rsidP="00B034F7">
      <w:pPr>
        <w:pStyle w:val="PlainText"/>
        <w:jc w:val="both"/>
      </w:pPr>
    </w:p>
    <w:p w:rsidR="00B034F7" w:rsidRDefault="00B034F7" w:rsidP="00B034F7">
      <w:pPr>
        <w:pStyle w:val="PlainText"/>
        <w:jc w:val="both"/>
      </w:pPr>
      <w:r>
        <w:t>2- The government’s full commitment to implement Security Council resolutions on Libya starting with Resolution 1970 and subsequent resolutions, particularly Security Council resolutions 2570 and 2571, the outcomes of the Berlin Conferences (1) and (2), and the road map issued by the Libyan Political Dialogue Forum, and an invitation to all to implement these resolutions  .</w:t>
      </w:r>
    </w:p>
    <w:p w:rsidR="00B034F7" w:rsidRDefault="00B034F7" w:rsidP="00B034F7">
      <w:pPr>
        <w:pStyle w:val="PlainText"/>
        <w:jc w:val="both"/>
      </w:pPr>
    </w:p>
    <w:p w:rsidR="00B034F7" w:rsidRDefault="00B034F7" w:rsidP="00B034F7">
      <w:pPr>
        <w:pStyle w:val="PlainText"/>
        <w:jc w:val="both"/>
      </w:pPr>
      <w:r>
        <w:t>3 - The Libyan government welcomes the return of the embassies of countries to work from inside the Libyan capital, Tripoli, and invites the rest of the countries to return to the work of their embassies from inside the capital, Tripoli.</w:t>
      </w:r>
    </w:p>
    <w:p w:rsidR="00B034F7" w:rsidRDefault="00B034F7" w:rsidP="00B034F7">
      <w:pPr>
        <w:pStyle w:val="PlainText"/>
        <w:jc w:val="both"/>
      </w:pPr>
    </w:p>
    <w:p w:rsidR="00B034F7" w:rsidRDefault="00B034F7" w:rsidP="00B034F7">
      <w:pPr>
        <w:pStyle w:val="PlainText"/>
        <w:jc w:val="both"/>
      </w:pPr>
      <w:r>
        <w:t xml:space="preserve">4- Commending the pivotal role of the United Nations in supporting stability in Libya, as well as the efforts of the African Union and its High-level Committee of Heads of State and Government of the African Union concerned with Libya, the Quartet, the European Union, the League of Arab States, and the </w:t>
      </w:r>
      <w:r>
        <w:t>neighbouring</w:t>
      </w:r>
      <w:r>
        <w:t xml:space="preserve"> countries of Libya in this regard.</w:t>
      </w:r>
    </w:p>
    <w:p w:rsidR="00B034F7" w:rsidRDefault="00B034F7" w:rsidP="00B034F7">
      <w:pPr>
        <w:pStyle w:val="PlainText"/>
        <w:jc w:val="both"/>
      </w:pPr>
    </w:p>
    <w:p w:rsidR="00B034F7" w:rsidRDefault="00B034F7" w:rsidP="00B034F7">
      <w:pPr>
        <w:pStyle w:val="PlainText"/>
        <w:jc w:val="both"/>
      </w:pPr>
      <w:r>
        <w:t>5- The importance of taking the necessary measures and entitlements to build confidence and create an appropriate environment for holding national elections in a fair, transparent and inclusive manner on December 24, 2021.</w:t>
      </w:r>
    </w:p>
    <w:p w:rsidR="00B034F7" w:rsidRDefault="00B034F7" w:rsidP="00B034F7">
      <w:pPr>
        <w:pStyle w:val="PlainText"/>
        <w:jc w:val="both"/>
      </w:pPr>
    </w:p>
    <w:p w:rsidR="00B034F7" w:rsidRDefault="00B034F7" w:rsidP="00B034F7">
      <w:pPr>
        <w:pStyle w:val="PlainText"/>
        <w:jc w:val="both"/>
      </w:pPr>
      <w:r>
        <w:t>6- Ending the conflict and achieving security and stability in Libya is a basis for peace and state-building, a pillar of peaceful coexistence, and a motive for the acceleration of the economy and development.</w:t>
      </w:r>
    </w:p>
    <w:p w:rsidR="00B034F7" w:rsidRDefault="00B034F7" w:rsidP="00B034F7">
      <w:pPr>
        <w:pStyle w:val="PlainText"/>
        <w:jc w:val="both"/>
      </w:pPr>
    </w:p>
    <w:p w:rsidR="00B034F7" w:rsidRDefault="00B034F7" w:rsidP="00B034F7">
      <w:pPr>
        <w:pStyle w:val="PlainText"/>
        <w:jc w:val="both"/>
      </w:pPr>
      <w:r>
        <w:t>7- The Libyan government’s intention to take the initiative within the framework of leading international efforts to end the crisis in Libya, and that its launch of the initiative to support Libya’s stability comes as a step within the framework of implementing UN Security Council resolutions and the outcomes of the Berlin conferences on Libya.</w:t>
      </w:r>
    </w:p>
    <w:p w:rsidR="00B034F7" w:rsidRDefault="00B034F7" w:rsidP="00B034F7">
      <w:pPr>
        <w:pStyle w:val="PlainText"/>
        <w:jc w:val="both"/>
      </w:pPr>
    </w:p>
    <w:p w:rsidR="00B034F7" w:rsidRDefault="00B034F7">
      <w:pPr>
        <w:rPr>
          <w:rFonts w:ascii="Calibri" w:hAnsi="Calibri"/>
          <w:szCs w:val="21"/>
        </w:rPr>
      </w:pPr>
      <w:r>
        <w:br w:type="page"/>
      </w:r>
    </w:p>
    <w:p w:rsidR="00B034F7" w:rsidRDefault="00B034F7" w:rsidP="00B034F7">
      <w:pPr>
        <w:pStyle w:val="PlainText"/>
        <w:jc w:val="both"/>
      </w:pPr>
      <w:r>
        <w:lastRenderedPageBreak/>
        <w:t>8- The Libyan government’s support for the efforts made by the 5 + 5 Joint Military Committee in the full implementation of the terms of the ceasefire agreement and the action plan approved in the thirteenth round of work of the committee held in Geneva during the period from 6 to 8 October 2021.</w:t>
      </w:r>
    </w:p>
    <w:p w:rsidR="00B034F7" w:rsidRDefault="00B034F7" w:rsidP="00B034F7">
      <w:pPr>
        <w:pStyle w:val="PlainText"/>
        <w:jc w:val="both"/>
      </w:pPr>
    </w:p>
    <w:p w:rsidR="00B034F7" w:rsidRDefault="00B034F7" w:rsidP="00B034F7">
      <w:pPr>
        <w:pStyle w:val="PlainText"/>
        <w:jc w:val="both"/>
      </w:pPr>
      <w:r>
        <w:t>9- The Libyan authorities’ respect for their international obligations and commitments, the respect of international humanitarian law and international human rights law in the framework of the protection and promotion of human rights, and the cooperation of the Libyan authorities with the fact-finding mission of the Human Rights Council, and facilitating its tasks.</w:t>
      </w:r>
    </w:p>
    <w:p w:rsidR="00B034F7" w:rsidRDefault="00B034F7" w:rsidP="00B034F7">
      <w:pPr>
        <w:pStyle w:val="PlainText"/>
        <w:jc w:val="both"/>
      </w:pPr>
    </w:p>
    <w:p w:rsidR="00B034F7" w:rsidRDefault="00B034F7" w:rsidP="00B034F7">
      <w:pPr>
        <w:pStyle w:val="PlainText"/>
        <w:jc w:val="both"/>
      </w:pPr>
      <w:r>
        <w:t>Issued in Tripoli on October 21, 2021.</w:t>
      </w:r>
    </w:p>
    <w:p w:rsidR="00B034F7" w:rsidRDefault="00B034F7" w:rsidP="00B034F7">
      <w:pPr>
        <w:pStyle w:val="PlainText"/>
        <w:jc w:val="both"/>
      </w:pPr>
    </w:p>
    <w:p w:rsidR="00B034F7" w:rsidRDefault="00B034F7" w:rsidP="00B034F7">
      <w:pPr>
        <w:pStyle w:val="PlainText"/>
        <w:jc w:val="both"/>
      </w:pPr>
      <w:r>
        <w:t>#</w:t>
      </w:r>
      <w:proofErr w:type="spellStart"/>
      <w:r>
        <w:t>MFA_Libya</w:t>
      </w:r>
      <w:proofErr w:type="spellEnd"/>
    </w:p>
    <w:p w:rsidR="00B034F7" w:rsidRDefault="00B034F7" w:rsidP="00B034F7">
      <w:pPr>
        <w:pStyle w:val="PlainText"/>
        <w:jc w:val="both"/>
      </w:pPr>
      <w:r>
        <w:t>#LYSC2021</w:t>
      </w:r>
    </w:p>
    <w:p w:rsidR="00B034F7" w:rsidRDefault="00B034F7" w:rsidP="00B034F7">
      <w:pPr>
        <w:pStyle w:val="PlainText"/>
        <w:jc w:val="both"/>
      </w:pPr>
      <w:r>
        <w:t>#Conference_Support_Stability_Libya_2021</w:t>
      </w:r>
    </w:p>
    <w:p w:rsidR="00B034F7" w:rsidRDefault="00B034F7"/>
    <w:sectPr w:rsidR="00B03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034F7"/>
    <w:rsid w:val="009431BB"/>
    <w:rsid w:val="00B034F7"/>
    <w:rsid w:val="00C14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0D98"/>
  <w15:chartTrackingRefBased/>
  <w15:docId w15:val="{1FE85386-216A-43CC-968B-36447055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034F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034F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6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ALEGRE Jose (EEAS-OUAGADOUGOU)</dc:creator>
  <cp:keywords/>
  <dc:description/>
  <cp:lastModifiedBy>SANCHEZ ALEGRE Jose (EEAS-OUAGADOUGOU)</cp:lastModifiedBy>
  <cp:revision>2</cp:revision>
  <dcterms:created xsi:type="dcterms:W3CDTF">2021-10-21T18:43:00Z</dcterms:created>
  <dcterms:modified xsi:type="dcterms:W3CDTF">2021-10-21T18:52:00Z</dcterms:modified>
</cp:coreProperties>
</file>