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/>
        <w:jc w:val="center"/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/>
        <w:jc w:val="center"/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/>
        <w:jc w:val="center"/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/>
        <w:jc w:val="center"/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/>
        <w:jc w:val="center"/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/>
        <w:jc w:val="center"/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/>
        <w:jc w:val="center"/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2036762</wp:posOffset>
            </wp:positionH>
            <wp:positionV relativeFrom="page">
              <wp:posOffset>0</wp:posOffset>
            </wp:positionV>
            <wp:extent cx="2030096" cy="1875256"/>
            <wp:effectExtent l="0" t="0" r="0" b="0"/>
            <wp:wrapSquare wrapText="bothSides" distL="0" distR="0" distT="0" distB="0"/>
            <wp:docPr id="1073741825" name="officeArt object" descr="MAECI-ambasciata-italia-V-IT-01-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ECI-ambasciata-italia-V-IT-01-24" descr="MAECI-ambasciata-italia-V-IT-01-2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6" cy="18752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b w:val="1"/>
          <w:bCs w:val="1"/>
          <w:sz w:val="34"/>
          <w:szCs w:val="34"/>
        </w:rPr>
      </w:pPr>
      <w:r>
        <w:rPr>
          <w:rFonts w:ascii="Times New Roman" w:hAnsi="Times New Roman"/>
          <w:b w:val="1"/>
          <w:bCs w:val="1"/>
          <w:sz w:val="34"/>
          <w:szCs w:val="34"/>
          <w:rtl w:val="0"/>
          <w:lang w:val="en-US"/>
        </w:rPr>
        <w:t>Virtual Roundtable on</w:t>
      </w:r>
      <w:r>
        <w:rPr>
          <w:rFonts w:ascii="Arial Unicode MS" w:hAnsi="Arial Unicode MS" w:hint="default"/>
          <w:sz w:val="34"/>
          <w:szCs w:val="34"/>
          <w:rtl w:val="1"/>
          <w:lang w:val="ar-SA" w:bidi="ar-SA"/>
        </w:rPr>
        <w:t xml:space="preserve"> “</w:t>
      </w:r>
      <w:r>
        <w:rPr>
          <w:rFonts w:ascii="Times New Roman" w:hAnsi="Times New Roman"/>
          <w:b w:val="1"/>
          <w:bCs w:val="1"/>
          <w:sz w:val="34"/>
          <w:szCs w:val="34"/>
          <w:rtl w:val="0"/>
          <w:lang w:val="en-US"/>
        </w:rPr>
        <w:t>Libya</w:t>
      </w:r>
      <w:r>
        <w:rPr>
          <w:rFonts w:ascii="Times New Roman" w:hAnsi="Times New Roman" w:hint="default"/>
          <w:b w:val="1"/>
          <w:bCs w:val="1"/>
          <w:sz w:val="34"/>
          <w:szCs w:val="34"/>
          <w:rtl w:val="0"/>
          <w:lang w:val="en-US"/>
        </w:rPr>
        <w:t xml:space="preserve"> – </w:t>
      </w:r>
      <w:r>
        <w:rPr>
          <w:rFonts w:ascii="Times New Roman" w:hAnsi="Times New Roman"/>
          <w:b w:val="1"/>
          <w:bCs w:val="1"/>
          <w:sz w:val="34"/>
          <w:szCs w:val="34"/>
          <w:rtl w:val="0"/>
          <w:lang w:val="en-US"/>
        </w:rPr>
        <w:t>Charting the Way Forward</w:t>
      </w:r>
      <w:r>
        <w:rPr>
          <w:rFonts w:ascii="Times New Roman" w:hAnsi="Times New Roman" w:hint="default"/>
          <w:b w:val="1"/>
          <w:bCs w:val="1"/>
          <w:sz w:val="34"/>
          <w:szCs w:val="34"/>
          <w:rtl w:val="0"/>
          <w:lang w:val="en-US"/>
        </w:rPr>
        <w:t>”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  <w:rtl w:val="0"/>
          <w:lang w:val="en-US"/>
        </w:rPr>
        <w:t>(1</w:t>
      </w:r>
      <w:r>
        <w:rPr>
          <w:rFonts w:ascii="Times New Roman" w:hAnsi="Times New Roman"/>
          <w:sz w:val="34"/>
          <w:szCs w:val="34"/>
          <w:rtl w:val="0"/>
          <w:lang w:val="it-IT"/>
        </w:rPr>
        <w:t>8 March</w:t>
      </w:r>
      <w:r>
        <w:rPr>
          <w:rFonts w:ascii="Times New Roman" w:hAnsi="Times New Roman"/>
          <w:sz w:val="34"/>
          <w:szCs w:val="34"/>
          <w:rtl w:val="0"/>
          <w:lang w:val="en-US"/>
        </w:rPr>
        <w:t>, 16:00-17:30 GMT)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/>
        <w:rPr>
          <w:rFonts w:ascii="Times New Roman" w:cs="Times New Roman" w:hAnsi="Times New Roman" w:eastAsia="Times New Roman"/>
          <w:sz w:val="34"/>
          <w:szCs w:val="34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Times New Roman" w:hAnsi="Times New Roman"/>
          <w:sz w:val="32"/>
          <w:szCs w:val="32"/>
          <w:rtl w:val="0"/>
          <w:lang w:val="en-US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Mr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>Emadeddin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>Badi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(</w:t>
      </w:r>
      <w:r>
        <w:rPr>
          <w:rFonts w:ascii="Times New Roman" w:hAnsi="Times New Roman"/>
          <w:sz w:val="32"/>
          <w:szCs w:val="32"/>
          <w:rtl w:val="0"/>
          <w:lang w:val="en-US"/>
        </w:rPr>
        <w:t>senior analyst, Global Initiative against Transnational Organized Crime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)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"https://globalinitiative.net/profile/emadeddin-badi/"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32"/>
          <w:szCs w:val="3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https://globalinitiative.net/profile/emadeddin-badi/</w:t>
      </w:r>
      <w:r>
        <w:rPr>
          <w:rFonts w:ascii="Times New Roman" w:cs="Times New Roman" w:hAnsi="Times New Roman" w:eastAsia="Times New Roman"/>
          <w:sz w:val="32"/>
          <w:szCs w:val="32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Times New Roman" w:hAnsi="Times New Roman"/>
          <w:sz w:val="32"/>
          <w:szCs w:val="32"/>
          <w:rtl w:val="0"/>
          <w:lang w:val="en-US"/>
        </w:rPr>
      </w:pP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Mr 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Tim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Eaton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 (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senior research fellow, Chatham House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)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"https://www.chathamhouse.org/about-us/our-people/tim-eaton"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32"/>
          <w:szCs w:val="3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https://www.chathamhouse.org/about-us/our-people/tim-eaton</w:t>
      </w:r>
      <w:r>
        <w:rPr>
          <w:rFonts w:ascii="Times New Roman" w:cs="Times New Roman" w:hAnsi="Times New Roman" w:eastAsia="Times New Roman"/>
          <w:sz w:val="32"/>
          <w:szCs w:val="32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Times New Roman" w:hAnsi="Times New Roman"/>
          <w:sz w:val="32"/>
          <w:szCs w:val="32"/>
          <w:rtl w:val="0"/>
          <w:lang w:val="en-US"/>
        </w:rPr>
      </w:pP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Mr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 Ben Fishman (senior fellow, Washington Institute for Near East Policy)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"https://www.washingtoninstitute.org/experts/ben-fishman"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32"/>
          <w:szCs w:val="3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https://www.washingtoninstitute.org/experts/ben-fishman</w:t>
      </w:r>
      <w:r>
        <w:rPr>
          <w:rFonts w:ascii="Times New Roman" w:cs="Times New Roman" w:hAnsi="Times New Roman" w:eastAsia="Times New Roman"/>
          <w:sz w:val="32"/>
          <w:szCs w:val="32"/>
        </w:rPr>
        <w:fldChar w:fldCharType="end" w:fldLock="0"/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Times New Roman" w:hAnsi="Times New Roman"/>
          <w:sz w:val="32"/>
          <w:szCs w:val="32"/>
          <w:rtl w:val="0"/>
          <w:lang w:val="en-US"/>
        </w:rPr>
      </w:pP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Ms 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Mary 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Fitzgerald 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(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associate fellow, International Centre for the Study of Radicalisation</w:t>
        <w:tab/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)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"https://mary-fitzgerald.com/"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32"/>
          <w:szCs w:val="3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https://mary-fitzgerald.com/</w:t>
      </w:r>
      <w:r>
        <w:rPr>
          <w:rFonts w:ascii="Times New Roman" w:cs="Times New Roman" w:hAnsi="Times New Roman" w:eastAsia="Times New Roman"/>
          <w:sz w:val="32"/>
          <w:szCs w:val="32"/>
        </w:rPr>
        <w:fldChar w:fldCharType="end" w:fldLock="0"/>
      </w: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sz w:val="32"/>
          <w:szCs w:val="32"/>
          <w:rtl w:val="0"/>
        </w:rPr>
      </w:pPr>
      <w:r>
        <w:rPr>
          <w:rStyle w:val="None"/>
          <w:outline w:val="0"/>
          <w:color w:val="000000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Dr</w:t>
      </w:r>
      <w:r>
        <w:rPr>
          <w:rStyle w:val="None"/>
          <w:outline w:val="0"/>
          <w:color w:val="000000"/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Wolfram Lacher</w:t>
      </w:r>
      <w:r>
        <w:rPr>
          <w:rStyle w:val="None"/>
          <w:outline w:val="0"/>
          <w:color w:val="000000"/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outline w:val="0"/>
          <w:color w:val="000000"/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senior associate, German Institute for International and Security Affairs </w:t>
      </w:r>
      <w:r>
        <w:rPr>
          <w:rStyle w:val="None"/>
          <w:outline w:val="0"/>
          <w:color w:val="000000"/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None"/>
          <w:outline w:val="0"/>
          <w:color w:val="000000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SWP)</w:t>
      </w:r>
      <w:r>
        <w:rPr>
          <w:rStyle w:val="None"/>
          <w:outline w:val="0"/>
          <w:color w:val="000000"/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  <w:sz w:val="32"/>
          <w:szCs w:val="32"/>
        </w:rPr>
        <w:fldChar w:fldCharType="begin" w:fldLock="0"/>
      </w:r>
      <w:r>
        <w:rPr>
          <w:rStyle w:val="Hyperlink.1"/>
          <w:sz w:val="32"/>
          <w:szCs w:val="32"/>
        </w:rPr>
        <w:instrText xml:space="preserve"> HYPERLINK "https://www.swp-berlin.org/en/scientist-detail/wolfram-lacher/"</w:instrText>
      </w:r>
      <w:r>
        <w:rPr>
          <w:rStyle w:val="Hyperlink.1"/>
          <w:sz w:val="32"/>
          <w:szCs w:val="32"/>
        </w:rPr>
        <w:fldChar w:fldCharType="separate" w:fldLock="0"/>
      </w:r>
      <w:r>
        <w:rPr>
          <w:rStyle w:val="Hyperlink.1"/>
          <w:sz w:val="32"/>
          <w:szCs w:val="32"/>
          <w:rtl w:val="0"/>
          <w:lang w:val="en-US"/>
        </w:rPr>
        <w:t>https://www.swp-berlin.org/en/scientist-detail/wolfram-lacher/</w:t>
      </w:r>
      <w:r>
        <w:rPr>
          <w:sz w:val="32"/>
          <w:szCs w:val="32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Times New Roman" w:hAnsi="Times New Roman"/>
          <w:sz w:val="32"/>
          <w:szCs w:val="32"/>
          <w:rtl w:val="0"/>
          <w:lang w:val="en-US"/>
        </w:rPr>
      </w:pP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Mr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Tarek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Megerisi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 (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policy fellow, European Council on Foreign Relations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)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"https://ecfr.eu/profile/tarek_megerisi/"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32"/>
          <w:szCs w:val="3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https://ecfr.eu/profile/tarek_megerisi/</w:t>
      </w:r>
      <w:r>
        <w:rPr>
          <w:rFonts w:ascii="Times New Roman" w:cs="Times New Roman" w:hAnsi="Times New Roman" w:eastAsia="Times New Roman"/>
          <w:sz w:val="32"/>
          <w:szCs w:val="32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Times New Roman" w:hAnsi="Times New Roman"/>
          <w:sz w:val="32"/>
          <w:szCs w:val="32"/>
          <w:rtl w:val="0"/>
          <w:lang w:val="en-US"/>
        </w:rPr>
      </w:pP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Mr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Karim Mezran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 (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resident senior fellow, Atlantic Council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)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"https://www.atlanticcouncil.org/expert/karim-mezran/"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32"/>
          <w:szCs w:val="3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https://www.atlanticcouncil.org/expert/karim-mezran/</w:t>
      </w:r>
      <w:r>
        <w:rPr>
          <w:rFonts w:ascii="Times New Roman" w:cs="Times New Roman" w:hAnsi="Times New Roman" w:eastAsia="Times New Roman"/>
          <w:sz w:val="32"/>
          <w:szCs w:val="32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Times New Roman" w:hAnsi="Times New Roman"/>
          <w:sz w:val="32"/>
          <w:szCs w:val="32"/>
          <w:rtl w:val="0"/>
          <w:lang w:val="en-US"/>
        </w:rPr>
      </w:pP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Dr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Tarik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Yousef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 (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senior associate, Brookings Doha Center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)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"https://www.brookings.edu/experts/tarik-yousef/"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32"/>
          <w:szCs w:val="3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https://www.brookings.edu/experts/tarik-yousef/</w:t>
      </w:r>
      <w:r>
        <w:rPr>
          <w:rFonts w:ascii="Times New Roman" w:cs="Times New Roman" w:hAnsi="Times New Roman" w:eastAsia="Times New Roman"/>
          <w:sz w:val="32"/>
          <w:szCs w:val="32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/>
        <w:jc w:val="both"/>
        <w:rPr>
          <w:rStyle w:val="None"/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Times New Roman" w:hAnsi="Times New Roman"/>
          <w:sz w:val="32"/>
          <w:szCs w:val="32"/>
          <w:rtl w:val="0"/>
          <w:lang w:val="it-IT"/>
        </w:rPr>
      </w:pPr>
      <w:r>
        <w:rPr>
          <w:rStyle w:val="None"/>
          <w:rFonts w:ascii="Times New Roman" w:hAnsi="Times New Roman"/>
          <w:sz w:val="32"/>
          <w:szCs w:val="32"/>
          <w:rtl w:val="0"/>
          <w:lang w:val="it-IT"/>
        </w:rPr>
        <w:t>Mr Raffaele Trombetta (Italian Ambassador in London)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Times New Roman" w:hAnsi="Times New Roman"/>
          <w:sz w:val="32"/>
          <w:szCs w:val="32"/>
          <w:rtl w:val="0"/>
          <w:lang w:val="en-US"/>
        </w:rPr>
      </w:pP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Mr Pasquale Ferrara</w:t>
      </w:r>
      <w:r>
        <w:rPr>
          <w:rStyle w:val="None"/>
          <w:rFonts w:ascii="Times New Roman" w:hAnsi="Times New Roman" w:hint="default"/>
          <w:sz w:val="32"/>
          <w:szCs w:val="32"/>
          <w:rtl w:val="0"/>
          <w:lang w:val="en-US"/>
        </w:rPr>
        <w:t> 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(Special Envoy of the Italian Ministry of Foreign Affairs for Libya)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Times New Roman" w:hAnsi="Times New Roman"/>
          <w:sz w:val="32"/>
          <w:szCs w:val="32"/>
          <w:rtl w:val="0"/>
          <w:lang w:val="it-IT"/>
        </w:rPr>
      </w:pPr>
      <w:r>
        <w:rPr>
          <w:rStyle w:val="None"/>
          <w:rFonts w:ascii="Times New Roman" w:hAnsi="Times New Roman"/>
          <w:sz w:val="32"/>
          <w:szCs w:val="32"/>
          <w:rtl w:val="0"/>
          <w:lang w:val="it-IT"/>
        </w:rPr>
        <w:t>Mr Giuseppe Buccino</w:t>
      </w:r>
      <w:r>
        <w:rPr>
          <w:rStyle w:val="None"/>
          <w:rFonts w:ascii="Times New Roman" w:hAnsi="Times New Roman" w:hint="default"/>
          <w:sz w:val="32"/>
          <w:szCs w:val="32"/>
          <w:rtl w:val="0"/>
          <w:lang w:val="it-IT"/>
        </w:rPr>
        <w:t> </w:t>
      </w:r>
      <w:r>
        <w:rPr>
          <w:rStyle w:val="None"/>
          <w:rFonts w:ascii="Times New Roman" w:hAnsi="Times New Roman"/>
          <w:sz w:val="32"/>
          <w:szCs w:val="32"/>
          <w:rtl w:val="0"/>
          <w:lang w:val="it-IT"/>
        </w:rPr>
        <w:t>(Italian Ambassador in Tripoli)</w:t>
      </w:r>
      <w:r>
        <w:rPr>
          <w:rStyle w:val="None"/>
          <w:rFonts w:ascii="Times New Roman" w:hAnsi="Times New Roman" w:hint="default"/>
          <w:sz w:val="32"/>
          <w:szCs w:val="32"/>
          <w:rtl w:val="0"/>
          <w:lang w:val="it-IT"/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Times New Roman" w:hAnsi="Times New Roman"/>
          <w:sz w:val="32"/>
          <w:szCs w:val="32"/>
          <w:rtl w:val="0"/>
          <w:lang w:val="en-US"/>
        </w:rPr>
      </w:pP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Mr Luca Gori</w:t>
      </w:r>
      <w:r>
        <w:rPr>
          <w:rStyle w:val="None"/>
          <w:rFonts w:ascii="Times New Roman" w:hAnsi="Times New Roman" w:hint="default"/>
          <w:sz w:val="32"/>
          <w:szCs w:val="32"/>
          <w:rtl w:val="0"/>
          <w:lang w:val="en-US"/>
        </w:rPr>
        <w:t> 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(MENA Director, Italian Ministry of Foreign Affairs)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Times New Roman" w:hAnsi="Times New Roman"/>
          <w:sz w:val="32"/>
          <w:szCs w:val="32"/>
          <w:rtl w:val="0"/>
          <w:lang w:val="en-US"/>
        </w:rPr>
      </w:pP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Mr Andrea Catalano (Maghreb Team Leader, Italian Ministry of Foreign Affairs)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Times New Roman" w:hAnsi="Times New Roman"/>
          <w:sz w:val="32"/>
          <w:szCs w:val="32"/>
          <w:rtl w:val="0"/>
          <w:lang w:val="en-US"/>
        </w:rPr>
      </w:pP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Mr Gianluca Brusco (Head of the Political Office, Italian Embassy in London)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Times New Roman" w:hAnsi="Times New Roman"/>
          <w:sz w:val="32"/>
          <w:szCs w:val="32"/>
          <w:rtl w:val="0"/>
          <w:lang w:val="en-US"/>
        </w:rPr>
      </w:pP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Mr Alberto 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>La Bella</w:t>
      </w: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 (Head of Press and Culture, Italian Embassy in London)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Times New Roman" w:hAnsi="Times New Roman"/>
          <w:sz w:val="32"/>
          <w:szCs w:val="32"/>
          <w:rtl w:val="0"/>
          <w:lang w:val="en-US"/>
        </w:rPr>
      </w:pPr>
      <w:r>
        <w:rPr>
          <w:rStyle w:val="None"/>
          <w:rFonts w:ascii="Times New Roman" w:hAnsi="Times New Roman"/>
          <w:sz w:val="32"/>
          <w:szCs w:val="32"/>
          <w:rtl w:val="0"/>
          <w:lang w:val="en-US"/>
        </w:rPr>
        <w:t xml:space="preserve">Mr Andrea Marchesetti (analyst, Italian Embassy in London)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49" w:hanging="34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589" w:hanging="34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829" w:hanging="34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069" w:hanging="34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309" w:hanging="34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549" w:hanging="34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789" w:hanging="34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2029" w:hanging="34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2269" w:hanging="34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