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EDFEA" w14:textId="1EB3C11E" w:rsidR="00337D40" w:rsidRPr="00862F57" w:rsidRDefault="00337D40" w:rsidP="00337D40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862F57">
        <w:rPr>
          <w:rFonts w:ascii="Tahoma" w:hAnsi="Tahoma" w:cs="Tahoma"/>
          <w:b/>
          <w:bCs/>
          <w:sz w:val="28"/>
          <w:szCs w:val="28"/>
        </w:rPr>
        <w:t>VADEMECUM CLASSIFICAZIONE DEI MATERIALI</w:t>
      </w:r>
    </w:p>
    <w:p w14:paraId="71046CAB" w14:textId="51C9D4FB" w:rsidR="00337D40" w:rsidRPr="00862F57" w:rsidRDefault="00337D40" w:rsidP="00337D40">
      <w:pPr>
        <w:jc w:val="center"/>
        <w:rPr>
          <w:rFonts w:ascii="Tahoma" w:hAnsi="Tahoma" w:cs="Tahoma"/>
          <w:b/>
          <w:bCs/>
        </w:rPr>
      </w:pPr>
    </w:p>
    <w:p w14:paraId="46FC7A93" w14:textId="5E8BCD36" w:rsidR="00337D40" w:rsidRPr="00862F57" w:rsidRDefault="00337D40" w:rsidP="00337D40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b/>
          <w:bCs/>
          <w:sz w:val="24"/>
          <w:szCs w:val="24"/>
        </w:rPr>
      </w:pPr>
      <w:r w:rsidRPr="00862F57">
        <w:rPr>
          <w:rFonts w:ascii="Tahoma" w:hAnsi="Tahoma" w:cs="Tahoma"/>
          <w:b/>
          <w:bCs/>
          <w:sz w:val="24"/>
          <w:szCs w:val="24"/>
        </w:rPr>
        <w:t>MATERIALI SENSIBILI</w:t>
      </w:r>
    </w:p>
    <w:p w14:paraId="50BBBECE" w14:textId="2279ACDC" w:rsidR="00337D40" w:rsidRPr="00862F57" w:rsidRDefault="00337D40" w:rsidP="00D36E32">
      <w:pPr>
        <w:jc w:val="both"/>
        <w:rPr>
          <w:rFonts w:ascii="Tahoma" w:hAnsi="Tahoma" w:cs="Tahoma"/>
          <w:sz w:val="24"/>
          <w:szCs w:val="24"/>
        </w:rPr>
      </w:pPr>
      <w:r w:rsidRPr="00862F57">
        <w:rPr>
          <w:rFonts w:ascii="Tahoma" w:hAnsi="Tahoma" w:cs="Tahoma"/>
          <w:sz w:val="24"/>
          <w:szCs w:val="24"/>
        </w:rPr>
        <w:t xml:space="preserve">          </w:t>
      </w:r>
      <w:r w:rsidR="00862F57" w:rsidRPr="00862F57">
        <w:rPr>
          <w:rFonts w:ascii="Tahoma" w:hAnsi="Tahoma" w:cs="Tahoma"/>
          <w:sz w:val="24"/>
          <w:szCs w:val="24"/>
        </w:rPr>
        <w:t xml:space="preserve"> </w:t>
      </w:r>
      <w:r w:rsidRPr="00862F57">
        <w:rPr>
          <w:rFonts w:ascii="Tahoma" w:hAnsi="Tahoma" w:cs="Tahoma"/>
          <w:sz w:val="24"/>
          <w:szCs w:val="24"/>
        </w:rPr>
        <w:t>Rientrano nella specifica categoria i sottoelencati materiali:</w:t>
      </w:r>
    </w:p>
    <w:p w14:paraId="3F6A4092" w14:textId="3481672C" w:rsidR="00337D40" w:rsidRPr="00862F57" w:rsidRDefault="00337D40" w:rsidP="00D36E32">
      <w:pPr>
        <w:pStyle w:val="Paragrafoelenco"/>
        <w:numPr>
          <w:ilvl w:val="0"/>
          <w:numId w:val="4"/>
        </w:numPr>
        <w:ind w:left="1418"/>
        <w:jc w:val="both"/>
        <w:rPr>
          <w:rFonts w:ascii="Tahoma" w:hAnsi="Tahoma" w:cs="Tahoma"/>
          <w:sz w:val="24"/>
          <w:szCs w:val="24"/>
        </w:rPr>
      </w:pPr>
      <w:r w:rsidRPr="00862F57">
        <w:rPr>
          <w:rFonts w:ascii="Tahoma" w:hAnsi="Tahoma" w:cs="Tahoma"/>
          <w:sz w:val="24"/>
          <w:szCs w:val="24"/>
        </w:rPr>
        <w:t>Tutti i materiali militari matricolati inclusi nell’ambito dei mezzi tecnici, apparati ottici, sistemi di protezione individuale ed NBC;</w:t>
      </w:r>
    </w:p>
    <w:p w14:paraId="635FD10F" w14:textId="5BC92E95" w:rsidR="00337D40" w:rsidRPr="00862F57" w:rsidRDefault="00337D40" w:rsidP="00D36E32">
      <w:pPr>
        <w:pStyle w:val="Paragrafoelenco"/>
        <w:numPr>
          <w:ilvl w:val="0"/>
          <w:numId w:val="4"/>
        </w:numPr>
        <w:ind w:left="1418"/>
        <w:jc w:val="both"/>
        <w:rPr>
          <w:rFonts w:ascii="Tahoma" w:hAnsi="Tahoma" w:cs="Tahoma"/>
          <w:sz w:val="24"/>
          <w:szCs w:val="24"/>
        </w:rPr>
      </w:pPr>
      <w:r w:rsidRPr="00862F57">
        <w:rPr>
          <w:rFonts w:ascii="Tahoma" w:hAnsi="Tahoma" w:cs="Tahoma"/>
          <w:sz w:val="24"/>
          <w:szCs w:val="24"/>
        </w:rPr>
        <w:t>documentazione sensibile che include ad esempio dati personali, la cui archiviazione è da preferire in maniera digitale;</w:t>
      </w:r>
    </w:p>
    <w:p w14:paraId="500CE504" w14:textId="3932461B" w:rsidR="00337D40" w:rsidRPr="00862F57" w:rsidRDefault="00337D40" w:rsidP="00D36E32">
      <w:pPr>
        <w:pStyle w:val="Paragrafoelenco"/>
        <w:numPr>
          <w:ilvl w:val="0"/>
          <w:numId w:val="4"/>
        </w:numPr>
        <w:ind w:left="1418"/>
        <w:jc w:val="both"/>
        <w:rPr>
          <w:rFonts w:ascii="Tahoma" w:hAnsi="Tahoma" w:cs="Tahoma"/>
          <w:sz w:val="24"/>
          <w:szCs w:val="24"/>
        </w:rPr>
      </w:pPr>
      <w:r w:rsidRPr="00862F57">
        <w:rPr>
          <w:rFonts w:ascii="Tahoma" w:hAnsi="Tahoma" w:cs="Tahoma"/>
          <w:sz w:val="24"/>
          <w:szCs w:val="24"/>
        </w:rPr>
        <w:t>documentazione amministrativa sensibile;</w:t>
      </w:r>
    </w:p>
    <w:p w14:paraId="783A22EA" w14:textId="36A4F949" w:rsidR="00862F57" w:rsidRDefault="00337D40" w:rsidP="00D36E32">
      <w:pPr>
        <w:ind w:left="709" w:hanging="425"/>
        <w:jc w:val="both"/>
        <w:rPr>
          <w:rFonts w:ascii="Tahoma" w:hAnsi="Tahoma" w:cs="Tahoma"/>
          <w:sz w:val="24"/>
          <w:szCs w:val="24"/>
        </w:rPr>
      </w:pPr>
      <w:r w:rsidRPr="00862F57">
        <w:rPr>
          <w:rFonts w:ascii="Tahoma" w:hAnsi="Tahoma" w:cs="Tahoma"/>
          <w:sz w:val="24"/>
          <w:szCs w:val="24"/>
        </w:rPr>
        <w:t xml:space="preserve">      Ogni cellula per la sua competenza dovrà provvedere ad</w:t>
      </w:r>
      <w:r w:rsidR="00862F57" w:rsidRPr="00862F57">
        <w:rPr>
          <w:rFonts w:ascii="Tahoma" w:hAnsi="Tahoma" w:cs="Tahoma"/>
          <w:sz w:val="24"/>
          <w:szCs w:val="24"/>
        </w:rPr>
        <w:t xml:space="preserve"> aggiornare l’elenco dei </w:t>
      </w:r>
      <w:r w:rsidR="00D36E32">
        <w:rPr>
          <w:rFonts w:ascii="Tahoma" w:hAnsi="Tahoma" w:cs="Tahoma"/>
          <w:sz w:val="24"/>
          <w:szCs w:val="24"/>
        </w:rPr>
        <w:t xml:space="preserve">      </w:t>
      </w:r>
      <w:r w:rsidR="00862F57" w:rsidRPr="00862F57">
        <w:rPr>
          <w:rFonts w:ascii="Tahoma" w:hAnsi="Tahoma" w:cs="Tahoma"/>
          <w:sz w:val="24"/>
          <w:szCs w:val="24"/>
        </w:rPr>
        <w:t>materiali e documenti cartacei/elettronici da prelevare in caso di emergenza e quelli da distruggere.</w:t>
      </w:r>
    </w:p>
    <w:p w14:paraId="71FC388A" w14:textId="77777777" w:rsidR="00113C8F" w:rsidRPr="00862F57" w:rsidRDefault="00113C8F" w:rsidP="00D36E32">
      <w:pPr>
        <w:ind w:left="709" w:hanging="425"/>
        <w:jc w:val="both"/>
        <w:rPr>
          <w:rFonts w:ascii="Tahoma" w:hAnsi="Tahoma" w:cs="Tahoma"/>
          <w:sz w:val="24"/>
          <w:szCs w:val="24"/>
        </w:rPr>
      </w:pPr>
    </w:p>
    <w:p w14:paraId="34ACE8F0" w14:textId="0A43B00C" w:rsidR="00862F57" w:rsidRDefault="00862F57" w:rsidP="00862F5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2.  </w:t>
      </w:r>
      <w:r w:rsidRPr="00862F57">
        <w:rPr>
          <w:rFonts w:ascii="Tahoma" w:hAnsi="Tahoma" w:cs="Tahoma"/>
          <w:b/>
          <w:bCs/>
          <w:sz w:val="24"/>
          <w:szCs w:val="24"/>
        </w:rPr>
        <w:t>MATERIALI NON SENSIBILI</w:t>
      </w:r>
    </w:p>
    <w:p w14:paraId="4AADE55F" w14:textId="569F6283" w:rsidR="00E57701" w:rsidRDefault="00862F57" w:rsidP="00E57701">
      <w:pPr>
        <w:pStyle w:val="Paragrafoelenco"/>
        <w:spacing w:after="200" w:line="240" w:lineRule="auto"/>
        <w:ind w:left="113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 materiali non sensibili, che includono le restanti categorie non incluse nelle casistiche indicate al paragrafo 1, qualora l’ambiente operativo non né consenta il caricamento sistematico saranno lasciati </w:t>
      </w:r>
      <w:r w:rsidR="00E57701">
        <w:rPr>
          <w:rFonts w:ascii="Tahoma" w:hAnsi="Tahoma" w:cs="Tahoma"/>
          <w:sz w:val="24"/>
          <w:szCs w:val="24"/>
        </w:rPr>
        <w:t>all’interno delle proprie stanze/uffici.</w:t>
      </w:r>
      <w:r w:rsidR="00E57701" w:rsidRPr="00E57701">
        <w:rPr>
          <w:rFonts w:asciiTheme="majorBidi" w:hAnsiTheme="majorBidi" w:cstheme="majorBidi"/>
          <w:sz w:val="24"/>
          <w:szCs w:val="24"/>
        </w:rPr>
        <w:t xml:space="preserve"> </w:t>
      </w:r>
      <w:r w:rsidR="00E57701" w:rsidRPr="00E57701">
        <w:rPr>
          <w:rFonts w:ascii="Tahoma" w:hAnsi="Tahoma" w:cs="Tahoma"/>
          <w:sz w:val="24"/>
          <w:szCs w:val="24"/>
        </w:rPr>
        <w:t>Qualora le condizioni lo consentano,</w:t>
      </w:r>
      <w:r w:rsidR="00E57701">
        <w:rPr>
          <w:rFonts w:ascii="Tahoma" w:hAnsi="Tahoma" w:cs="Tahoma"/>
          <w:sz w:val="24"/>
          <w:szCs w:val="24"/>
        </w:rPr>
        <w:t xml:space="preserve"> in un secondo momento,</w:t>
      </w:r>
      <w:r w:rsidR="00E57701" w:rsidRPr="00E57701">
        <w:rPr>
          <w:rFonts w:ascii="Tahoma" w:hAnsi="Tahoma" w:cs="Tahoma"/>
          <w:sz w:val="24"/>
          <w:szCs w:val="24"/>
        </w:rPr>
        <w:t xml:space="preserve"> saranno recuperati e trasportati dove necessario, tramite veicoli commerciali appositamente noleggiati; </w:t>
      </w:r>
    </w:p>
    <w:p w14:paraId="3B930E3D" w14:textId="1395FB0D" w:rsidR="00E57701" w:rsidRDefault="00E57701" w:rsidP="00E57701">
      <w:pPr>
        <w:pStyle w:val="Paragrafoelenco"/>
        <w:spacing w:after="200" w:line="240" w:lineRule="auto"/>
        <w:ind w:left="1134"/>
        <w:jc w:val="both"/>
        <w:rPr>
          <w:rFonts w:ascii="Tahoma" w:hAnsi="Tahoma" w:cs="Tahoma"/>
          <w:sz w:val="24"/>
          <w:szCs w:val="24"/>
        </w:rPr>
      </w:pPr>
    </w:p>
    <w:p w14:paraId="2A39AFC2" w14:textId="3642EF88" w:rsidR="00E57701" w:rsidRPr="00E57701" w:rsidRDefault="00E57701" w:rsidP="00E57701">
      <w:pPr>
        <w:ind w:left="720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3. CARICO DEI MATERIALI NON SENSIBILI</w:t>
      </w:r>
    </w:p>
    <w:p w14:paraId="1FDC991E" w14:textId="2DA19C0C" w:rsidR="009951F5" w:rsidRDefault="00D36E32" w:rsidP="00D36E32">
      <w:pPr>
        <w:pStyle w:val="Paragrafoelenco"/>
        <w:spacing w:after="200" w:line="240" w:lineRule="auto"/>
        <w:ind w:left="113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</w:t>
      </w:r>
      <w:r w:rsidR="009951F5">
        <w:rPr>
          <w:rFonts w:ascii="Tahoma" w:hAnsi="Tahoma" w:cs="Tahoma"/>
          <w:sz w:val="24"/>
          <w:szCs w:val="24"/>
        </w:rPr>
        <w:t>l carico dei</w:t>
      </w:r>
      <w:r>
        <w:rPr>
          <w:rFonts w:ascii="Tahoma" w:hAnsi="Tahoma" w:cs="Tahoma"/>
          <w:sz w:val="24"/>
          <w:szCs w:val="24"/>
        </w:rPr>
        <w:t xml:space="preserve"> materiali non sensibili</w:t>
      </w:r>
      <w:r w:rsidR="009951F5">
        <w:rPr>
          <w:rFonts w:ascii="Tahoma" w:hAnsi="Tahoma" w:cs="Tahoma"/>
          <w:sz w:val="24"/>
          <w:szCs w:val="24"/>
        </w:rPr>
        <w:t xml:space="preserve"> sarà riportato in un file digitale nel quale sono indicate le seguenti informazioni:</w:t>
      </w:r>
    </w:p>
    <w:p w14:paraId="2BEC38E0" w14:textId="7F3A4EA0" w:rsidR="009951F5" w:rsidRDefault="009951F5" w:rsidP="009951F5">
      <w:pPr>
        <w:pStyle w:val="Paragrafoelenco"/>
        <w:numPr>
          <w:ilvl w:val="0"/>
          <w:numId w:val="8"/>
        </w:numPr>
        <w:spacing w:after="20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Utilizzatore del materiale;</w:t>
      </w:r>
    </w:p>
    <w:p w14:paraId="7AE75951" w14:textId="22076A46" w:rsidR="009951F5" w:rsidRDefault="009951F5" w:rsidP="009951F5">
      <w:pPr>
        <w:pStyle w:val="Paragrafoelenco"/>
        <w:numPr>
          <w:ilvl w:val="0"/>
          <w:numId w:val="8"/>
        </w:numPr>
        <w:spacing w:after="20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N.U.C.;</w:t>
      </w:r>
    </w:p>
    <w:p w14:paraId="1184CA23" w14:textId="410D2B93" w:rsidR="009951F5" w:rsidRDefault="009951F5" w:rsidP="009951F5">
      <w:pPr>
        <w:pStyle w:val="Paragrafoelenco"/>
        <w:numPr>
          <w:ilvl w:val="0"/>
          <w:numId w:val="8"/>
        </w:numPr>
        <w:spacing w:after="20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denominazione del materiale;</w:t>
      </w:r>
    </w:p>
    <w:p w14:paraId="4EBED9D1" w14:textId="06C48A9C" w:rsidR="009951F5" w:rsidRDefault="009951F5" w:rsidP="009951F5">
      <w:pPr>
        <w:pStyle w:val="Paragrafoelenco"/>
        <w:numPr>
          <w:ilvl w:val="0"/>
          <w:numId w:val="8"/>
        </w:numPr>
        <w:spacing w:after="20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prezzo Unitario;</w:t>
      </w:r>
    </w:p>
    <w:p w14:paraId="3714C161" w14:textId="3485C863" w:rsidR="009951F5" w:rsidRDefault="009951F5" w:rsidP="009951F5">
      <w:pPr>
        <w:pStyle w:val="Paragrafoelenco"/>
        <w:numPr>
          <w:ilvl w:val="0"/>
          <w:numId w:val="8"/>
        </w:numPr>
        <w:spacing w:after="20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quantità contabile;</w:t>
      </w:r>
    </w:p>
    <w:p w14:paraId="2D787686" w14:textId="4AC0C1AE" w:rsidR="009951F5" w:rsidRPr="009951F5" w:rsidRDefault="009951F5" w:rsidP="009951F5">
      <w:pPr>
        <w:pStyle w:val="Paragrafoelenco"/>
        <w:numPr>
          <w:ilvl w:val="0"/>
          <w:numId w:val="8"/>
        </w:numPr>
        <w:spacing w:after="20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valore complessivo.</w:t>
      </w:r>
    </w:p>
    <w:p w14:paraId="073450F0" w14:textId="77777777" w:rsidR="009951F5" w:rsidRDefault="009951F5" w:rsidP="00D36E32">
      <w:pPr>
        <w:pStyle w:val="Paragrafoelenco"/>
        <w:spacing w:after="200" w:line="240" w:lineRule="auto"/>
        <w:ind w:left="1134"/>
        <w:jc w:val="both"/>
        <w:rPr>
          <w:rFonts w:ascii="Tahoma" w:hAnsi="Tahoma" w:cs="Tahoma"/>
          <w:sz w:val="24"/>
          <w:szCs w:val="24"/>
        </w:rPr>
      </w:pPr>
    </w:p>
    <w:p w14:paraId="26C26BE9" w14:textId="5B32A9D8" w:rsidR="00D36E32" w:rsidRDefault="003E3CFF" w:rsidP="00D36E32">
      <w:pPr>
        <w:pStyle w:val="Paragrafoelenco"/>
        <w:spacing w:after="200" w:line="240" w:lineRule="auto"/>
        <w:ind w:left="113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L’elenco in argomento costituisce un </w:t>
      </w:r>
      <w:r w:rsidRPr="003E3CFF">
        <w:rPr>
          <w:rFonts w:ascii="Tahoma" w:hAnsi="Tahoma" w:cs="Tahoma"/>
          <w:i/>
          <w:iCs/>
          <w:sz w:val="24"/>
          <w:szCs w:val="24"/>
        </w:rPr>
        <w:t xml:space="preserve">living </w:t>
      </w:r>
      <w:proofErr w:type="spellStart"/>
      <w:r w:rsidRPr="003E3CFF">
        <w:rPr>
          <w:rFonts w:ascii="Tahoma" w:hAnsi="Tahoma" w:cs="Tahoma"/>
          <w:i/>
          <w:iCs/>
          <w:sz w:val="24"/>
          <w:szCs w:val="24"/>
        </w:rPr>
        <w:t>document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0BB2812B" w14:textId="77777777" w:rsidR="00D36E32" w:rsidRDefault="00D36E32" w:rsidP="00D36E32">
      <w:pPr>
        <w:pStyle w:val="Paragrafoelenco"/>
        <w:spacing w:after="200" w:line="240" w:lineRule="auto"/>
        <w:ind w:left="1134"/>
        <w:jc w:val="both"/>
        <w:rPr>
          <w:rFonts w:ascii="Tahoma" w:hAnsi="Tahoma" w:cs="Tahoma"/>
          <w:sz w:val="24"/>
          <w:szCs w:val="24"/>
        </w:rPr>
      </w:pPr>
    </w:p>
    <w:p w14:paraId="29774C15" w14:textId="5A1218F3" w:rsidR="00E57701" w:rsidRPr="00E57701" w:rsidRDefault="00E57701" w:rsidP="00E57701">
      <w:pPr>
        <w:spacing w:after="200" w:line="240" w:lineRule="auto"/>
        <w:jc w:val="both"/>
        <w:rPr>
          <w:rFonts w:ascii="Tahoma" w:hAnsi="Tahoma" w:cs="Tahoma"/>
          <w:sz w:val="24"/>
          <w:szCs w:val="24"/>
        </w:rPr>
      </w:pPr>
    </w:p>
    <w:p w14:paraId="0C79D67F" w14:textId="0C455B23" w:rsidR="00E57701" w:rsidRDefault="00E57701" w:rsidP="00862F57">
      <w:pPr>
        <w:ind w:left="709" w:hanging="425"/>
        <w:jc w:val="both"/>
        <w:rPr>
          <w:rFonts w:ascii="Tahoma" w:hAnsi="Tahoma" w:cs="Tahoma"/>
          <w:sz w:val="24"/>
          <w:szCs w:val="24"/>
        </w:rPr>
      </w:pPr>
    </w:p>
    <w:p w14:paraId="12B87D5C" w14:textId="77777777" w:rsidR="00E57701" w:rsidRDefault="00E57701" w:rsidP="00862F57">
      <w:pPr>
        <w:ind w:left="709" w:hanging="425"/>
        <w:jc w:val="both"/>
        <w:rPr>
          <w:rFonts w:ascii="Tahoma" w:hAnsi="Tahoma" w:cs="Tahoma"/>
          <w:sz w:val="24"/>
          <w:szCs w:val="24"/>
        </w:rPr>
      </w:pPr>
    </w:p>
    <w:p w14:paraId="61C56C63" w14:textId="55EF5DAC" w:rsidR="00862F57" w:rsidRPr="00862F57" w:rsidRDefault="00862F57" w:rsidP="00862F57">
      <w:pPr>
        <w:rPr>
          <w:rFonts w:ascii="Tahoma" w:hAnsi="Tahoma" w:cs="Tahoma"/>
          <w:b/>
          <w:bCs/>
        </w:rPr>
      </w:pPr>
    </w:p>
    <w:p w14:paraId="178717E8" w14:textId="77777777" w:rsidR="00862F57" w:rsidRDefault="00862F57" w:rsidP="00862F57">
      <w:pPr>
        <w:ind w:left="709" w:hanging="425"/>
        <w:jc w:val="both"/>
        <w:rPr>
          <w:rFonts w:ascii="Tahoma" w:hAnsi="Tahoma" w:cs="Tahoma"/>
        </w:rPr>
      </w:pPr>
    </w:p>
    <w:p w14:paraId="25985404" w14:textId="77777777" w:rsidR="00337D40" w:rsidRPr="00337D40" w:rsidRDefault="00337D40" w:rsidP="00337D40">
      <w:pPr>
        <w:jc w:val="both"/>
      </w:pPr>
    </w:p>
    <w:p w14:paraId="4E581B65" w14:textId="251FDD37" w:rsidR="00337D40" w:rsidRDefault="00337D40" w:rsidP="00337D40">
      <w:pPr>
        <w:pStyle w:val="Paragrafoelenco"/>
        <w:jc w:val="both"/>
        <w:rPr>
          <w:b/>
          <w:bCs/>
        </w:rPr>
      </w:pPr>
    </w:p>
    <w:p w14:paraId="5276538E" w14:textId="207060DB" w:rsidR="00337D40" w:rsidRDefault="00337D40" w:rsidP="00337D40">
      <w:pPr>
        <w:pStyle w:val="Paragrafoelenco"/>
        <w:jc w:val="both"/>
        <w:rPr>
          <w:b/>
          <w:bCs/>
        </w:rPr>
      </w:pPr>
    </w:p>
    <w:p w14:paraId="1240651D" w14:textId="77777777" w:rsidR="00337D40" w:rsidRPr="00337D40" w:rsidRDefault="00337D40" w:rsidP="00337D40">
      <w:pPr>
        <w:pStyle w:val="Paragrafoelenco"/>
        <w:jc w:val="both"/>
        <w:rPr>
          <w:b/>
          <w:bCs/>
        </w:rPr>
      </w:pPr>
    </w:p>
    <w:sectPr w:rsidR="00337D40" w:rsidRPr="00337D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0919"/>
    <w:multiLevelType w:val="hybridMultilevel"/>
    <w:tmpl w:val="451A6826"/>
    <w:lvl w:ilvl="0" w:tplc="70C0CE32">
      <w:start w:val="1"/>
      <w:numFmt w:val="bullet"/>
      <w:lvlText w:val="₋"/>
      <w:lvlJc w:val="left"/>
      <w:pPr>
        <w:ind w:left="1854" w:hanging="360"/>
      </w:pPr>
      <w:rPr>
        <w:rFonts w:ascii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C652687"/>
    <w:multiLevelType w:val="hybridMultilevel"/>
    <w:tmpl w:val="8FD67008"/>
    <w:lvl w:ilvl="0" w:tplc="1826B544">
      <w:start w:val="1"/>
      <w:numFmt w:val="lowerLetter"/>
      <w:lvlText w:val="(%1)"/>
      <w:lvlJc w:val="left"/>
      <w:pPr>
        <w:ind w:left="12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2B325F77"/>
    <w:multiLevelType w:val="hybridMultilevel"/>
    <w:tmpl w:val="797E62DE"/>
    <w:lvl w:ilvl="0" w:tplc="1826B5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A75EF"/>
    <w:multiLevelType w:val="hybridMultilevel"/>
    <w:tmpl w:val="30F0D72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DAF6BDF"/>
    <w:multiLevelType w:val="hybridMultilevel"/>
    <w:tmpl w:val="200CB95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9E3579"/>
    <w:multiLevelType w:val="hybridMultilevel"/>
    <w:tmpl w:val="266424E2"/>
    <w:lvl w:ilvl="0" w:tplc="A65814BE">
      <w:start w:val="1"/>
      <w:numFmt w:val="bullet"/>
      <w:lvlText w:val="-"/>
      <w:lvlJc w:val="left"/>
      <w:pPr>
        <w:ind w:left="8582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D1AF3"/>
    <w:multiLevelType w:val="hybridMultilevel"/>
    <w:tmpl w:val="066EF6B4"/>
    <w:lvl w:ilvl="0" w:tplc="1826B544">
      <w:start w:val="1"/>
      <w:numFmt w:val="lowerLetter"/>
      <w:lvlText w:val="(%1)"/>
      <w:lvlJc w:val="left"/>
      <w:pPr>
        <w:ind w:left="18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35" w:hanging="360"/>
      </w:pPr>
    </w:lvl>
    <w:lvl w:ilvl="2" w:tplc="0410001B" w:tentative="1">
      <w:start w:val="1"/>
      <w:numFmt w:val="lowerRoman"/>
      <w:lvlText w:val="%3."/>
      <w:lvlJc w:val="right"/>
      <w:pPr>
        <w:ind w:left="3255" w:hanging="180"/>
      </w:pPr>
    </w:lvl>
    <w:lvl w:ilvl="3" w:tplc="0410000F" w:tentative="1">
      <w:start w:val="1"/>
      <w:numFmt w:val="decimal"/>
      <w:lvlText w:val="%4."/>
      <w:lvlJc w:val="left"/>
      <w:pPr>
        <w:ind w:left="3975" w:hanging="360"/>
      </w:pPr>
    </w:lvl>
    <w:lvl w:ilvl="4" w:tplc="04100019" w:tentative="1">
      <w:start w:val="1"/>
      <w:numFmt w:val="lowerLetter"/>
      <w:lvlText w:val="%5."/>
      <w:lvlJc w:val="left"/>
      <w:pPr>
        <w:ind w:left="4695" w:hanging="360"/>
      </w:pPr>
    </w:lvl>
    <w:lvl w:ilvl="5" w:tplc="0410001B" w:tentative="1">
      <w:start w:val="1"/>
      <w:numFmt w:val="lowerRoman"/>
      <w:lvlText w:val="%6."/>
      <w:lvlJc w:val="right"/>
      <w:pPr>
        <w:ind w:left="5415" w:hanging="180"/>
      </w:pPr>
    </w:lvl>
    <w:lvl w:ilvl="6" w:tplc="0410000F" w:tentative="1">
      <w:start w:val="1"/>
      <w:numFmt w:val="decimal"/>
      <w:lvlText w:val="%7."/>
      <w:lvlJc w:val="left"/>
      <w:pPr>
        <w:ind w:left="6135" w:hanging="360"/>
      </w:pPr>
    </w:lvl>
    <w:lvl w:ilvl="7" w:tplc="04100019" w:tentative="1">
      <w:start w:val="1"/>
      <w:numFmt w:val="lowerLetter"/>
      <w:lvlText w:val="%8."/>
      <w:lvlJc w:val="left"/>
      <w:pPr>
        <w:ind w:left="6855" w:hanging="360"/>
      </w:pPr>
    </w:lvl>
    <w:lvl w:ilvl="8" w:tplc="0410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68705347"/>
    <w:multiLevelType w:val="hybridMultilevel"/>
    <w:tmpl w:val="200CB95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40"/>
    <w:rsid w:val="00113C8F"/>
    <w:rsid w:val="00337D40"/>
    <w:rsid w:val="003E3CFF"/>
    <w:rsid w:val="00862F57"/>
    <w:rsid w:val="009951F5"/>
    <w:rsid w:val="00D36E32"/>
    <w:rsid w:val="00E5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C06E"/>
  <w15:chartTrackingRefBased/>
  <w15:docId w15:val="{94538683-3236-4A8F-BED2-587E6BC2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337D40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E57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4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2024-01-25T08:07:00Z</dcterms:created>
  <dcterms:modified xsi:type="dcterms:W3CDTF">2024-01-25T10:35:00Z</dcterms:modified>
</cp:coreProperties>
</file>