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513C5" w14:textId="04E082BE" w:rsidR="00842E9E" w:rsidRPr="00842E9E" w:rsidRDefault="00842E9E" w:rsidP="00811082">
      <w:pPr>
        <w:pStyle w:val="Default"/>
        <w:spacing w:after="120" w:line="360" w:lineRule="auto"/>
        <w:jc w:val="both"/>
        <w:rPr>
          <w:sz w:val="22"/>
          <w:szCs w:val="22"/>
        </w:rPr>
      </w:pPr>
      <w:r w:rsidRPr="00842E9E">
        <w:rPr>
          <w:b/>
          <w:bCs/>
          <w:sz w:val="22"/>
          <w:szCs w:val="22"/>
        </w:rPr>
        <w:t xml:space="preserve">Situazione di Sicurezza: inquadramento generale </w:t>
      </w:r>
    </w:p>
    <w:p w14:paraId="3A5E8718" w14:textId="72495C23" w:rsidR="00811082" w:rsidRPr="00811082" w:rsidRDefault="00842E9E" w:rsidP="00811082">
      <w:pPr>
        <w:pStyle w:val="Default"/>
        <w:spacing w:line="360" w:lineRule="auto"/>
        <w:jc w:val="both"/>
        <w:rPr>
          <w:sz w:val="22"/>
          <w:szCs w:val="22"/>
        </w:rPr>
      </w:pPr>
      <w:r w:rsidRPr="00842E9E">
        <w:rPr>
          <w:sz w:val="22"/>
          <w:szCs w:val="22"/>
        </w:rPr>
        <w:t>Per quanto riguarda il livello della minaccia riferito al contingente nazionale in LIBIA</w:t>
      </w:r>
      <w:r w:rsidR="003865D0">
        <w:rPr>
          <w:sz w:val="22"/>
          <w:szCs w:val="22"/>
        </w:rPr>
        <w:t>,</w:t>
      </w:r>
      <w:r w:rsidRPr="00842E9E">
        <w:rPr>
          <w:sz w:val="22"/>
          <w:szCs w:val="22"/>
        </w:rPr>
        <w:t xml:space="preserve"> si deve fare riferimento ai livelli della minaccia del documento specifico classificato redatto da RIS-CII secondo la pubblicazione POS-001 di SMD-RIS edizione 2011.</w:t>
      </w:r>
    </w:p>
    <w:p w14:paraId="14FC7CC4" w14:textId="3BB01CC3" w:rsidR="005A5ADF" w:rsidRDefault="005A5ADF" w:rsidP="00811082">
      <w:pPr>
        <w:pStyle w:val="Default"/>
        <w:spacing w:line="360" w:lineRule="auto"/>
        <w:jc w:val="both"/>
        <w:rPr>
          <w:rFonts w:cs="Calibri"/>
          <w:sz w:val="22"/>
          <w:szCs w:val="22"/>
        </w:rPr>
      </w:pPr>
      <w:r w:rsidRPr="00882E96">
        <w:rPr>
          <w:rFonts w:cs="Calibri"/>
          <w:sz w:val="22"/>
          <w:szCs w:val="22"/>
        </w:rPr>
        <w:t>La LIBIA,</w:t>
      </w:r>
      <w:r w:rsidRPr="005A5ADF">
        <w:rPr>
          <w:rFonts w:cs="Calibri"/>
          <w:sz w:val="22"/>
          <w:szCs w:val="22"/>
        </w:rPr>
        <w:t xml:space="preserve"> nel primo periodo post-rivoluzionario, priva di Istituzioni in grado di esercitare l’autorità politica su tutto il territorio</w:t>
      </w:r>
      <w:r>
        <w:rPr>
          <w:rFonts w:cs="Calibri"/>
          <w:sz w:val="22"/>
          <w:szCs w:val="22"/>
        </w:rPr>
        <w:t xml:space="preserve"> e</w:t>
      </w:r>
      <w:r w:rsidRPr="005A5ADF">
        <w:rPr>
          <w:rFonts w:cs="Calibri"/>
          <w:sz w:val="22"/>
          <w:szCs w:val="22"/>
        </w:rPr>
        <w:t xml:space="preserve"> con l’ausilio delle NAZIONI UNITE</w:t>
      </w:r>
      <w:r w:rsidR="00DC1538">
        <w:rPr>
          <w:rFonts w:cs="Calibri"/>
          <w:sz w:val="22"/>
          <w:szCs w:val="22"/>
        </w:rPr>
        <w:t xml:space="preserve"> (NU)</w:t>
      </w:r>
      <w:r w:rsidRPr="005A5ADF">
        <w:rPr>
          <w:rFonts w:cs="Calibri"/>
          <w:sz w:val="22"/>
          <w:szCs w:val="22"/>
        </w:rPr>
        <w:t>, si è adoperata per cercare una mediazione tra Ovest ed Est che potesse consentire il superamento della crisi politica</w:t>
      </w:r>
      <w:r w:rsidR="00DC1538">
        <w:rPr>
          <w:rFonts w:cs="Calibri"/>
          <w:sz w:val="22"/>
          <w:szCs w:val="22"/>
        </w:rPr>
        <w:t xml:space="preserve">. </w:t>
      </w:r>
      <w:r>
        <w:rPr>
          <w:rFonts w:cs="Calibri"/>
          <w:sz w:val="22"/>
          <w:szCs w:val="22"/>
        </w:rPr>
        <w:t xml:space="preserve">Tuttavia, le divergenti agende degli </w:t>
      </w:r>
      <w:r>
        <w:rPr>
          <w:rFonts w:cs="Calibri"/>
          <w:i/>
          <w:sz w:val="22"/>
          <w:szCs w:val="22"/>
        </w:rPr>
        <w:t xml:space="preserve">stakeholder interni </w:t>
      </w:r>
      <w:r w:rsidR="00DC1538">
        <w:rPr>
          <w:rFonts w:cs="Calibri"/>
          <w:sz w:val="22"/>
          <w:szCs w:val="22"/>
        </w:rPr>
        <w:t xml:space="preserve">(ed </w:t>
      </w:r>
      <w:r w:rsidRPr="005A5ADF">
        <w:rPr>
          <w:rFonts w:cs="Calibri"/>
          <w:sz w:val="22"/>
          <w:szCs w:val="22"/>
        </w:rPr>
        <w:t>esteri)</w:t>
      </w:r>
      <w:r>
        <w:rPr>
          <w:rFonts w:cs="Calibri"/>
          <w:sz w:val="22"/>
          <w:szCs w:val="22"/>
        </w:rPr>
        <w:t xml:space="preserve"> non hanno permesso una normalizzazione politica del Paese.</w:t>
      </w:r>
    </w:p>
    <w:p w14:paraId="2C89B22D" w14:textId="73C67EEF" w:rsidR="00A66D4F" w:rsidRDefault="005A5ADF" w:rsidP="00811082">
      <w:pPr>
        <w:pStyle w:val="Default"/>
        <w:spacing w:line="360" w:lineRule="auto"/>
        <w:jc w:val="both"/>
        <w:rPr>
          <w:rFonts w:cs="Calibri"/>
        </w:rPr>
      </w:pPr>
      <w:r>
        <w:rPr>
          <w:rFonts w:cs="Calibri"/>
          <w:sz w:val="22"/>
          <w:szCs w:val="22"/>
        </w:rPr>
        <w:t>A seguito dell’indeterminatezza della situazione politica e securitaria, a</w:t>
      </w:r>
      <w:r w:rsidR="00A66D4F" w:rsidRPr="00A66D4F">
        <w:rPr>
          <w:rFonts w:cs="Calibri"/>
          <w:sz w:val="22"/>
          <w:szCs w:val="22"/>
        </w:rPr>
        <w:t xml:space="preserve">d aprirle 2019, HAFTAR </w:t>
      </w:r>
      <w:r w:rsidR="003865D0">
        <w:rPr>
          <w:rFonts w:cs="Calibri"/>
          <w:sz w:val="22"/>
          <w:szCs w:val="22"/>
        </w:rPr>
        <w:t xml:space="preserve">ha </w:t>
      </w:r>
      <w:r w:rsidR="00A66D4F" w:rsidRPr="00A66D4F">
        <w:rPr>
          <w:rFonts w:cs="Calibri"/>
          <w:sz w:val="22"/>
          <w:szCs w:val="22"/>
        </w:rPr>
        <w:t>avvia</w:t>
      </w:r>
      <w:r w:rsidR="003865D0">
        <w:rPr>
          <w:rFonts w:cs="Calibri"/>
          <w:sz w:val="22"/>
          <w:szCs w:val="22"/>
        </w:rPr>
        <w:t>to</w:t>
      </w:r>
      <w:r w:rsidR="00A66D4F">
        <w:rPr>
          <w:rFonts w:cs="Calibri"/>
          <w:sz w:val="22"/>
          <w:szCs w:val="22"/>
        </w:rPr>
        <w:t>,</w:t>
      </w:r>
      <w:r w:rsidR="00A66D4F" w:rsidRPr="00A66D4F">
        <w:rPr>
          <w:rFonts w:cs="Calibri"/>
          <w:sz w:val="22"/>
          <w:szCs w:val="22"/>
        </w:rPr>
        <w:t xml:space="preserve"> grazie al supporto</w:t>
      </w:r>
      <w:r w:rsidR="00A66D4F">
        <w:rPr>
          <w:rFonts w:cs="Calibri"/>
          <w:sz w:val="22"/>
          <w:szCs w:val="22"/>
        </w:rPr>
        <w:t xml:space="preserve"> di </w:t>
      </w:r>
      <w:r w:rsidR="003865D0">
        <w:rPr>
          <w:rFonts w:cs="Calibri"/>
          <w:sz w:val="22"/>
          <w:szCs w:val="22"/>
        </w:rPr>
        <w:t>alcuni</w:t>
      </w:r>
      <w:r w:rsidR="00A66D4F">
        <w:rPr>
          <w:rFonts w:cs="Calibri"/>
          <w:sz w:val="22"/>
          <w:szCs w:val="22"/>
        </w:rPr>
        <w:t xml:space="preserve"> </w:t>
      </w:r>
      <w:r w:rsidR="00A66D4F">
        <w:rPr>
          <w:rFonts w:cs="Calibri"/>
          <w:i/>
          <w:sz w:val="22"/>
          <w:szCs w:val="22"/>
        </w:rPr>
        <w:t>stakeholder</w:t>
      </w:r>
      <w:r w:rsidR="00A66D4F" w:rsidRPr="00A66D4F">
        <w:rPr>
          <w:rFonts w:cs="Calibri"/>
          <w:sz w:val="22"/>
          <w:szCs w:val="22"/>
        </w:rPr>
        <w:t xml:space="preserve"> ester</w:t>
      </w:r>
      <w:r w:rsidR="00A66D4F">
        <w:rPr>
          <w:rFonts w:cs="Calibri"/>
          <w:sz w:val="22"/>
          <w:szCs w:val="22"/>
        </w:rPr>
        <w:t>i</w:t>
      </w:r>
      <w:r w:rsidR="00A66D4F" w:rsidRPr="00A66D4F">
        <w:rPr>
          <w:rFonts w:cs="Calibri"/>
          <w:sz w:val="22"/>
          <w:szCs w:val="22"/>
        </w:rPr>
        <w:t>, un’offensiva finalizzata ad assumere con la forza il potere anche nell’</w:t>
      </w:r>
      <w:r w:rsidR="003865D0" w:rsidRPr="00A66D4F">
        <w:rPr>
          <w:rFonts w:cs="Calibri"/>
          <w:sz w:val="22"/>
          <w:szCs w:val="22"/>
        </w:rPr>
        <w:t>O</w:t>
      </w:r>
      <w:r w:rsidR="00A66D4F" w:rsidRPr="00A66D4F">
        <w:rPr>
          <w:rFonts w:cs="Calibri"/>
          <w:sz w:val="22"/>
          <w:szCs w:val="22"/>
        </w:rPr>
        <w:t>vest del Paese</w:t>
      </w:r>
      <w:r w:rsidR="00A66D4F" w:rsidRPr="00A66D4F">
        <w:rPr>
          <w:rStyle w:val="Rimandonotaapidipagina"/>
          <w:rFonts w:cs="Calibri"/>
          <w:sz w:val="22"/>
          <w:szCs w:val="22"/>
        </w:rPr>
        <w:footnoteReference w:id="1"/>
      </w:r>
      <w:r w:rsidR="00A66D4F" w:rsidRPr="00A66D4F">
        <w:rPr>
          <w:rFonts w:cs="Calibri"/>
          <w:sz w:val="22"/>
          <w:szCs w:val="22"/>
        </w:rPr>
        <w:t>. Di contro,</w:t>
      </w:r>
      <w:r w:rsidR="00A66D4F">
        <w:rPr>
          <w:rFonts w:cs="Calibri"/>
          <w:sz w:val="22"/>
          <w:szCs w:val="22"/>
        </w:rPr>
        <w:t xml:space="preserve"> il sostegno del fronte internazionale vicino alla Fratellanza Musulmana</w:t>
      </w:r>
      <w:r w:rsidR="00A66D4F" w:rsidRPr="00A66D4F">
        <w:rPr>
          <w:rFonts w:cs="Calibri"/>
          <w:sz w:val="22"/>
          <w:szCs w:val="22"/>
        </w:rPr>
        <w:t xml:space="preserve"> si </w:t>
      </w:r>
      <w:r w:rsidR="003865D0">
        <w:rPr>
          <w:rFonts w:cs="Calibri"/>
          <w:sz w:val="22"/>
          <w:szCs w:val="22"/>
        </w:rPr>
        <w:t xml:space="preserve">è </w:t>
      </w:r>
      <w:r w:rsidR="00A66D4F" w:rsidRPr="00A66D4F">
        <w:rPr>
          <w:rFonts w:cs="Calibri"/>
          <w:sz w:val="22"/>
          <w:szCs w:val="22"/>
        </w:rPr>
        <w:t>rivel</w:t>
      </w:r>
      <w:r w:rsidR="003865D0">
        <w:rPr>
          <w:rFonts w:cs="Calibri"/>
          <w:sz w:val="22"/>
          <w:szCs w:val="22"/>
        </w:rPr>
        <w:t>ato</w:t>
      </w:r>
      <w:r w:rsidR="00A66D4F" w:rsidRPr="00A66D4F">
        <w:rPr>
          <w:rFonts w:cs="Calibri"/>
          <w:sz w:val="22"/>
          <w:szCs w:val="22"/>
        </w:rPr>
        <w:t xml:space="preserve"> determinante per le forze di AL SERRAJ per respingere gli assedianti. A partire dalla prima decade di giugno 2020</w:t>
      </w:r>
      <w:r w:rsidR="003865D0">
        <w:rPr>
          <w:rFonts w:cs="Calibri"/>
          <w:sz w:val="22"/>
          <w:szCs w:val="22"/>
        </w:rPr>
        <w:t>,</w:t>
      </w:r>
      <w:r w:rsidR="00A66D4F" w:rsidRPr="00A66D4F">
        <w:rPr>
          <w:rFonts w:cs="Calibri"/>
          <w:sz w:val="22"/>
          <w:szCs w:val="22"/>
        </w:rPr>
        <w:t xml:space="preserve"> il conflitto </w:t>
      </w:r>
      <w:r w:rsidR="003865D0">
        <w:rPr>
          <w:rFonts w:cs="Calibri"/>
          <w:sz w:val="22"/>
          <w:szCs w:val="22"/>
        </w:rPr>
        <w:t xml:space="preserve">è </w:t>
      </w:r>
      <w:r w:rsidR="00A66D4F" w:rsidRPr="00A66D4F">
        <w:rPr>
          <w:rFonts w:cs="Calibri"/>
          <w:sz w:val="22"/>
          <w:szCs w:val="22"/>
        </w:rPr>
        <w:t>entra</w:t>
      </w:r>
      <w:r w:rsidR="003865D0">
        <w:rPr>
          <w:rFonts w:cs="Calibri"/>
          <w:sz w:val="22"/>
          <w:szCs w:val="22"/>
        </w:rPr>
        <w:t>to</w:t>
      </w:r>
      <w:r w:rsidR="00A66D4F" w:rsidRPr="00A66D4F">
        <w:rPr>
          <w:rFonts w:cs="Calibri"/>
          <w:sz w:val="22"/>
          <w:szCs w:val="22"/>
        </w:rPr>
        <w:t xml:space="preserve"> in una fase di stallo operativo</w:t>
      </w:r>
      <w:r w:rsidR="003865D0">
        <w:rPr>
          <w:rFonts w:cs="Calibri"/>
          <w:sz w:val="22"/>
          <w:szCs w:val="22"/>
        </w:rPr>
        <w:t xml:space="preserve">, </w:t>
      </w:r>
      <w:r w:rsidR="00A66D4F" w:rsidRPr="00A66D4F">
        <w:rPr>
          <w:rFonts w:cs="Calibri"/>
          <w:sz w:val="22"/>
          <w:szCs w:val="22"/>
        </w:rPr>
        <w:t xml:space="preserve">delineando </w:t>
      </w:r>
      <w:r w:rsidR="003865D0">
        <w:rPr>
          <w:rFonts w:cs="Calibri"/>
          <w:sz w:val="22"/>
          <w:szCs w:val="22"/>
        </w:rPr>
        <w:t xml:space="preserve">aree </w:t>
      </w:r>
      <w:r w:rsidR="00A66D4F" w:rsidRPr="00A66D4F">
        <w:rPr>
          <w:rFonts w:cs="Calibri"/>
          <w:sz w:val="22"/>
          <w:szCs w:val="22"/>
        </w:rPr>
        <w:t>d’influenza tutt’ora vigenti.</w:t>
      </w:r>
      <w:r w:rsidR="00A66D4F" w:rsidRPr="00A66D4F">
        <w:rPr>
          <w:rFonts w:cs="Calibri"/>
        </w:rPr>
        <w:t xml:space="preserve"> </w:t>
      </w:r>
    </w:p>
    <w:p w14:paraId="1A505543" w14:textId="07B12ACC" w:rsidR="00A66D4F" w:rsidRDefault="00A66D4F" w:rsidP="00811082">
      <w:pPr>
        <w:pStyle w:val="Default"/>
        <w:spacing w:line="360" w:lineRule="auto"/>
        <w:jc w:val="both"/>
        <w:rPr>
          <w:rFonts w:cs="Calibri"/>
          <w:sz w:val="22"/>
        </w:rPr>
      </w:pPr>
      <w:r w:rsidRPr="00A66D4F">
        <w:rPr>
          <w:rFonts w:cs="Calibri"/>
          <w:sz w:val="22"/>
        </w:rPr>
        <w:t xml:space="preserve">Dopo circa 18 mesi di ostilità, il 23 ottobre 2020, grazie alla mediazione delle NU, si </w:t>
      </w:r>
      <w:r w:rsidR="003865D0">
        <w:rPr>
          <w:rFonts w:cs="Calibri"/>
          <w:sz w:val="22"/>
        </w:rPr>
        <w:t xml:space="preserve">è </w:t>
      </w:r>
      <w:r w:rsidRPr="00A66D4F">
        <w:rPr>
          <w:rFonts w:cs="Calibri"/>
          <w:sz w:val="22"/>
        </w:rPr>
        <w:t>giun</w:t>
      </w:r>
      <w:r w:rsidR="003865D0">
        <w:rPr>
          <w:rFonts w:cs="Calibri"/>
          <w:sz w:val="22"/>
        </w:rPr>
        <w:t>ti</w:t>
      </w:r>
      <w:r w:rsidRPr="00A66D4F">
        <w:rPr>
          <w:rFonts w:cs="Calibri"/>
          <w:sz w:val="22"/>
        </w:rPr>
        <w:t xml:space="preserve"> alla firma di un cessate il fuoco</w:t>
      </w:r>
      <w:r>
        <w:rPr>
          <w:rFonts w:cs="Calibri"/>
          <w:sz w:val="22"/>
        </w:rPr>
        <w:t xml:space="preserve"> (</w:t>
      </w:r>
      <w:r w:rsidR="00DC1538">
        <w:rPr>
          <w:rFonts w:cs="Calibri"/>
          <w:sz w:val="22"/>
        </w:rPr>
        <w:t>ancora</w:t>
      </w:r>
      <w:r>
        <w:rPr>
          <w:rFonts w:cs="Calibri"/>
          <w:sz w:val="22"/>
        </w:rPr>
        <w:t xml:space="preserve"> </w:t>
      </w:r>
      <w:r w:rsidR="00DC1538">
        <w:rPr>
          <w:rFonts w:cs="Calibri"/>
          <w:sz w:val="22"/>
        </w:rPr>
        <w:t>valido</w:t>
      </w:r>
      <w:r>
        <w:rPr>
          <w:rFonts w:cs="Calibri"/>
          <w:sz w:val="22"/>
        </w:rPr>
        <w:t>)</w:t>
      </w:r>
      <w:r w:rsidRPr="00A66D4F">
        <w:rPr>
          <w:rFonts w:cs="Calibri"/>
          <w:sz w:val="22"/>
        </w:rPr>
        <w:t xml:space="preserve"> che </w:t>
      </w:r>
      <w:r w:rsidR="003865D0">
        <w:rPr>
          <w:rFonts w:cs="Calibri"/>
          <w:sz w:val="22"/>
        </w:rPr>
        <w:t xml:space="preserve">ha </w:t>
      </w:r>
      <w:r w:rsidRPr="00A66D4F">
        <w:rPr>
          <w:rFonts w:cs="Calibri"/>
          <w:sz w:val="22"/>
        </w:rPr>
        <w:t>consent</w:t>
      </w:r>
      <w:r w:rsidR="003865D0">
        <w:rPr>
          <w:rFonts w:cs="Calibri"/>
          <w:sz w:val="22"/>
        </w:rPr>
        <w:t>ito</w:t>
      </w:r>
      <w:r w:rsidRPr="00A66D4F">
        <w:rPr>
          <w:rFonts w:cs="Calibri"/>
          <w:sz w:val="22"/>
        </w:rPr>
        <w:t xml:space="preserve"> una ripresa delle consultazioni politiche mirate a rinnovare le Istituzioni e traghettare il Paese verso lo svolgimento di elezioni democratiche</w:t>
      </w:r>
      <w:r w:rsidR="003865D0">
        <w:rPr>
          <w:rFonts w:cs="Calibri"/>
          <w:sz w:val="22"/>
        </w:rPr>
        <w:t xml:space="preserve"> (da quel momento, però, mai svolte)</w:t>
      </w:r>
      <w:r w:rsidRPr="00A66D4F">
        <w:rPr>
          <w:rFonts w:cs="Calibri"/>
          <w:sz w:val="22"/>
        </w:rPr>
        <w:t>.</w:t>
      </w:r>
    </w:p>
    <w:p w14:paraId="76E6C948" w14:textId="4F7BEC48" w:rsidR="00811082" w:rsidRPr="00305148" w:rsidRDefault="00811082" w:rsidP="00811082">
      <w:pPr>
        <w:spacing w:after="0" w:line="360" w:lineRule="auto"/>
        <w:jc w:val="both"/>
        <w:rPr>
          <w:rFonts w:ascii="Century Gothic" w:hAnsi="Century Gothic"/>
        </w:rPr>
      </w:pPr>
      <w:r w:rsidRPr="00305148">
        <w:rPr>
          <w:rFonts w:ascii="Century Gothic" w:hAnsi="Century Gothic"/>
        </w:rPr>
        <w:t>L</w:t>
      </w:r>
      <w:r w:rsidR="003865D0">
        <w:rPr>
          <w:rFonts w:ascii="Century Gothic" w:hAnsi="Century Gothic"/>
        </w:rPr>
        <w:t>’incert</w:t>
      </w:r>
      <w:r w:rsidRPr="00305148">
        <w:rPr>
          <w:rFonts w:ascii="Century Gothic" w:hAnsi="Century Gothic"/>
        </w:rPr>
        <w:t xml:space="preserve">a situazione politica libica è dovuta alla presenza di due esecutivi contrapposti: </w:t>
      </w:r>
      <w:r w:rsidR="00FD6166">
        <w:rPr>
          <w:rFonts w:ascii="Century Gothic" w:hAnsi="Century Gothic"/>
        </w:rPr>
        <w:t xml:space="preserve">quello che fa capo a </w:t>
      </w:r>
      <w:proofErr w:type="spellStart"/>
      <w:r w:rsidR="00FD6166">
        <w:rPr>
          <w:rFonts w:ascii="Century Gothic" w:hAnsi="Century Gothic"/>
        </w:rPr>
        <w:t>Abdu</w:t>
      </w:r>
      <w:bookmarkStart w:id="0" w:name="_GoBack"/>
      <w:bookmarkEnd w:id="0"/>
      <w:r w:rsidR="003865D0">
        <w:rPr>
          <w:rFonts w:ascii="Century Gothic" w:hAnsi="Century Gothic"/>
        </w:rPr>
        <w:t>lahamid</w:t>
      </w:r>
      <w:proofErr w:type="spellEnd"/>
      <w:r w:rsidR="003865D0">
        <w:rPr>
          <w:rFonts w:ascii="Century Gothic" w:hAnsi="Century Gothic"/>
        </w:rPr>
        <w:t xml:space="preserve"> </w:t>
      </w:r>
      <w:r w:rsidRPr="00305148">
        <w:rPr>
          <w:rFonts w:ascii="Century Gothic" w:hAnsi="Century Gothic"/>
        </w:rPr>
        <w:t>DBEIBAH</w:t>
      </w:r>
      <w:r>
        <w:rPr>
          <w:rFonts w:ascii="Century Gothic" w:hAnsi="Century Gothic"/>
        </w:rPr>
        <w:t>,</w:t>
      </w:r>
      <w:r w:rsidRPr="00305148">
        <w:rPr>
          <w:rFonts w:ascii="Century Gothic" w:hAnsi="Century Gothic"/>
        </w:rPr>
        <w:t xml:space="preserve"> Primo Ministro del Governo di Unità Nazionale</w:t>
      </w:r>
      <w:r w:rsidR="005A5ADF">
        <w:rPr>
          <w:rFonts w:ascii="Century Gothic" w:hAnsi="Century Gothic"/>
        </w:rPr>
        <w:t xml:space="preserve"> (GUN)</w:t>
      </w:r>
      <w:r w:rsidRPr="00305148">
        <w:rPr>
          <w:rFonts w:ascii="Century Gothic" w:hAnsi="Century Gothic"/>
        </w:rPr>
        <w:t xml:space="preserve"> con sede a TRIPOLI</w:t>
      </w:r>
      <w:r w:rsidR="003865D0">
        <w:rPr>
          <w:rFonts w:ascii="Century Gothic" w:hAnsi="Century Gothic"/>
        </w:rPr>
        <w:t>,</w:t>
      </w:r>
      <w:r w:rsidRPr="00305148">
        <w:rPr>
          <w:rFonts w:ascii="Century Gothic" w:hAnsi="Century Gothic"/>
        </w:rPr>
        <w:t xml:space="preserve"> e </w:t>
      </w:r>
      <w:r w:rsidR="003865D0">
        <w:rPr>
          <w:rFonts w:ascii="Century Gothic" w:hAnsi="Century Gothic"/>
        </w:rPr>
        <w:t xml:space="preserve">quello presieduto da </w:t>
      </w:r>
      <w:proofErr w:type="spellStart"/>
      <w:r w:rsidR="003865D0">
        <w:rPr>
          <w:rFonts w:ascii="Century Gothic" w:hAnsi="Century Gothic"/>
        </w:rPr>
        <w:t>Fathi</w:t>
      </w:r>
      <w:proofErr w:type="spellEnd"/>
      <w:r w:rsidR="003865D0">
        <w:rPr>
          <w:rFonts w:ascii="Century Gothic" w:hAnsi="Century Gothic"/>
        </w:rPr>
        <w:t xml:space="preserve"> </w:t>
      </w:r>
      <w:r w:rsidRPr="00305148">
        <w:rPr>
          <w:rFonts w:ascii="Century Gothic" w:hAnsi="Century Gothic"/>
        </w:rPr>
        <w:t>BISHAGHA</w:t>
      </w:r>
      <w:r>
        <w:rPr>
          <w:rFonts w:ascii="Century Gothic" w:hAnsi="Century Gothic"/>
        </w:rPr>
        <w:t>,</w:t>
      </w:r>
      <w:r w:rsidRPr="00305148">
        <w:rPr>
          <w:rFonts w:ascii="Century Gothic" w:hAnsi="Century Gothic"/>
        </w:rPr>
        <w:t xml:space="preserve"> </w:t>
      </w:r>
      <w:r w:rsidR="003865D0" w:rsidRPr="00305148">
        <w:rPr>
          <w:rFonts w:ascii="Century Gothic" w:hAnsi="Century Gothic"/>
        </w:rPr>
        <w:t xml:space="preserve">Primo Ministro </w:t>
      </w:r>
      <w:r w:rsidRPr="00305148">
        <w:rPr>
          <w:rFonts w:ascii="Century Gothic" w:hAnsi="Century Gothic"/>
        </w:rPr>
        <w:t>del Governo di Stabilità Nazionale</w:t>
      </w:r>
      <w:r>
        <w:rPr>
          <w:rFonts w:ascii="Century Gothic" w:hAnsi="Century Gothic"/>
        </w:rPr>
        <w:t>,</w:t>
      </w:r>
      <w:r w:rsidRPr="00305148">
        <w:rPr>
          <w:rFonts w:ascii="Century Gothic" w:hAnsi="Century Gothic"/>
        </w:rPr>
        <w:t xml:space="preserve"> con sede a BENGHASI.</w:t>
      </w:r>
      <w:r>
        <w:rPr>
          <w:rFonts w:ascii="Century Gothic" w:hAnsi="Century Gothic"/>
        </w:rPr>
        <w:t xml:space="preserve"> </w:t>
      </w:r>
      <w:r w:rsidRPr="00305148">
        <w:rPr>
          <w:rFonts w:ascii="Century Gothic" w:hAnsi="Century Gothic"/>
        </w:rPr>
        <w:t>Nel corso del 2022</w:t>
      </w:r>
      <w:r w:rsidR="003865D0">
        <w:rPr>
          <w:rFonts w:ascii="Century Gothic" w:hAnsi="Century Gothic"/>
        </w:rPr>
        <w:t>,</w:t>
      </w:r>
      <w:r w:rsidRPr="00305148">
        <w:rPr>
          <w:rFonts w:ascii="Century Gothic" w:hAnsi="Century Gothic"/>
        </w:rPr>
        <w:t xml:space="preserve"> BISHAGHA ha tentato</w:t>
      </w:r>
      <w:r>
        <w:rPr>
          <w:rFonts w:ascii="Century Gothic" w:hAnsi="Century Gothic"/>
        </w:rPr>
        <w:t>,</w:t>
      </w:r>
      <w:r w:rsidRPr="00305148">
        <w:rPr>
          <w:rFonts w:ascii="Century Gothic" w:hAnsi="Century Gothic"/>
        </w:rPr>
        <w:t xml:space="preserve"> senza successo</w:t>
      </w:r>
      <w:r>
        <w:rPr>
          <w:rFonts w:ascii="Century Gothic" w:hAnsi="Century Gothic"/>
        </w:rPr>
        <w:t>,</w:t>
      </w:r>
      <w:r w:rsidRPr="00305148">
        <w:rPr>
          <w:rFonts w:ascii="Century Gothic" w:hAnsi="Century Gothic"/>
        </w:rPr>
        <w:t xml:space="preserve"> tre volte di insediarsi con la forza a TRIPOLI (marzo, maggio e agosto). </w:t>
      </w:r>
    </w:p>
    <w:p w14:paraId="760347CF" w14:textId="30E2C9B3" w:rsidR="00811082" w:rsidRPr="00811082" w:rsidRDefault="00811082" w:rsidP="00811082">
      <w:pPr>
        <w:spacing w:after="0" w:line="360" w:lineRule="auto"/>
        <w:jc w:val="both"/>
        <w:rPr>
          <w:rFonts w:ascii="Century Gothic" w:hAnsi="Century Gothic"/>
        </w:rPr>
      </w:pPr>
      <w:r w:rsidRPr="00305148">
        <w:rPr>
          <w:rFonts w:ascii="Century Gothic" w:hAnsi="Century Gothic"/>
        </w:rPr>
        <w:t>In TRIPOLITANIA l’attività condotta dalle diverse milizie presenti sul terreno continua a ingenerare incertezza e instabilità a livello locale. Recentemente (febbraio –</w:t>
      </w:r>
      <w:r>
        <w:rPr>
          <w:rFonts w:ascii="Century Gothic" w:hAnsi="Century Gothic"/>
        </w:rPr>
        <w:t xml:space="preserve"> </w:t>
      </w:r>
      <w:r w:rsidRPr="00305148">
        <w:rPr>
          <w:rFonts w:ascii="Century Gothic" w:hAnsi="Century Gothic"/>
        </w:rPr>
        <w:t>aprile 2023) l’area di ZAWIYA (40 km a</w:t>
      </w:r>
      <w:r w:rsidR="003865D0">
        <w:rPr>
          <w:rFonts w:ascii="Century Gothic" w:hAnsi="Century Gothic"/>
        </w:rPr>
        <w:t>d</w:t>
      </w:r>
      <w:r w:rsidRPr="00305148">
        <w:rPr>
          <w:rFonts w:ascii="Century Gothic" w:hAnsi="Century Gothic"/>
        </w:rPr>
        <w:t xml:space="preserve"> ovest di TRIPOLI) è stata spesso teatro di tensioni inter-miliziane</w:t>
      </w:r>
      <w:r w:rsidR="003865D0">
        <w:rPr>
          <w:rFonts w:ascii="Century Gothic" w:hAnsi="Century Gothic"/>
        </w:rPr>
        <w:t>,</w:t>
      </w:r>
      <w:r w:rsidRPr="00305148">
        <w:rPr>
          <w:rFonts w:ascii="Century Gothic" w:hAnsi="Century Gothic"/>
        </w:rPr>
        <w:t xml:space="preserve"> che hanno causato alcuni morti e feriti. </w:t>
      </w:r>
    </w:p>
    <w:p w14:paraId="2C80B9BB" w14:textId="5C4ADED8" w:rsidR="001D70B1" w:rsidRDefault="00923C5B" w:rsidP="00DC1538">
      <w:pPr>
        <w:pStyle w:val="Default"/>
        <w:spacing w:line="360" w:lineRule="auto"/>
        <w:jc w:val="both"/>
        <w:rPr>
          <w:sz w:val="22"/>
          <w:szCs w:val="22"/>
        </w:rPr>
      </w:pPr>
      <w:r>
        <w:rPr>
          <w:sz w:val="22"/>
          <w:szCs w:val="22"/>
        </w:rPr>
        <w:t xml:space="preserve">A complicare i già fragili equilibri del Paese, soprattutto nella </w:t>
      </w:r>
      <w:r w:rsidR="003865D0">
        <w:rPr>
          <w:sz w:val="22"/>
          <w:szCs w:val="22"/>
        </w:rPr>
        <w:t xml:space="preserve">Regione del </w:t>
      </w:r>
      <w:r w:rsidR="001D70B1">
        <w:rPr>
          <w:sz w:val="22"/>
          <w:szCs w:val="22"/>
        </w:rPr>
        <w:t>FEZZAN</w:t>
      </w:r>
      <w:r>
        <w:rPr>
          <w:sz w:val="22"/>
          <w:szCs w:val="22"/>
        </w:rPr>
        <w:t xml:space="preserve">, ha contribuito la presenza di gruppi criminali, mercenari stranieri e di elementi affiliati a </w:t>
      </w:r>
      <w:proofErr w:type="spellStart"/>
      <w:r w:rsidRPr="00CF655C">
        <w:rPr>
          <w:i/>
          <w:sz w:val="22"/>
          <w:szCs w:val="22"/>
        </w:rPr>
        <w:t>Violent</w:t>
      </w:r>
      <w:proofErr w:type="spellEnd"/>
      <w:r w:rsidRPr="00CF655C">
        <w:rPr>
          <w:i/>
          <w:sz w:val="22"/>
          <w:szCs w:val="22"/>
        </w:rPr>
        <w:t xml:space="preserve"> </w:t>
      </w:r>
      <w:proofErr w:type="spellStart"/>
      <w:r w:rsidRPr="00CF655C">
        <w:rPr>
          <w:i/>
          <w:sz w:val="22"/>
          <w:szCs w:val="22"/>
        </w:rPr>
        <w:lastRenderedPageBreak/>
        <w:t>Extremist</w:t>
      </w:r>
      <w:proofErr w:type="spellEnd"/>
      <w:r w:rsidRPr="00CF655C">
        <w:rPr>
          <w:i/>
          <w:sz w:val="22"/>
          <w:szCs w:val="22"/>
        </w:rPr>
        <w:t xml:space="preserve"> </w:t>
      </w:r>
      <w:proofErr w:type="spellStart"/>
      <w:r w:rsidRPr="00CF655C">
        <w:rPr>
          <w:i/>
          <w:sz w:val="22"/>
          <w:szCs w:val="22"/>
        </w:rPr>
        <w:t>Organizations</w:t>
      </w:r>
      <w:proofErr w:type="spellEnd"/>
      <w:r>
        <w:rPr>
          <w:sz w:val="22"/>
          <w:szCs w:val="22"/>
        </w:rPr>
        <w:t>.</w:t>
      </w:r>
      <w:r w:rsidR="001D70B1">
        <w:rPr>
          <w:sz w:val="22"/>
          <w:szCs w:val="22"/>
        </w:rPr>
        <w:t xml:space="preserve"> La prolungata assenza del </w:t>
      </w:r>
      <w:r w:rsidR="001D70B1" w:rsidRPr="00E33B55">
        <w:rPr>
          <w:sz w:val="22"/>
          <w:szCs w:val="22"/>
        </w:rPr>
        <w:t>controllo stat</w:t>
      </w:r>
      <w:r w:rsidR="001D70B1">
        <w:rPr>
          <w:sz w:val="22"/>
          <w:szCs w:val="22"/>
        </w:rPr>
        <w:t xml:space="preserve">uale su gran parte del sud, infatti, </w:t>
      </w:r>
      <w:r w:rsidR="001D70B1" w:rsidRPr="00E33B55">
        <w:rPr>
          <w:sz w:val="22"/>
          <w:szCs w:val="22"/>
        </w:rPr>
        <w:t>ha</w:t>
      </w:r>
      <w:r w:rsidR="001D70B1">
        <w:rPr>
          <w:sz w:val="22"/>
          <w:szCs w:val="22"/>
        </w:rPr>
        <w:t>:</w:t>
      </w:r>
    </w:p>
    <w:p w14:paraId="6161F78D" w14:textId="4CE4AED6" w:rsidR="001D70B1" w:rsidRDefault="001D70B1" w:rsidP="00DC1538">
      <w:pPr>
        <w:pStyle w:val="Default"/>
        <w:numPr>
          <w:ilvl w:val="0"/>
          <w:numId w:val="5"/>
        </w:numPr>
        <w:spacing w:line="360" w:lineRule="auto"/>
        <w:ind w:left="284" w:hanging="284"/>
        <w:jc w:val="both"/>
        <w:rPr>
          <w:sz w:val="22"/>
          <w:szCs w:val="22"/>
        </w:rPr>
      </w:pPr>
      <w:proofErr w:type="gramStart"/>
      <w:r>
        <w:rPr>
          <w:sz w:val="22"/>
          <w:szCs w:val="22"/>
        </w:rPr>
        <w:t>favorito</w:t>
      </w:r>
      <w:proofErr w:type="gramEnd"/>
      <w:r w:rsidRPr="00E33B55">
        <w:rPr>
          <w:sz w:val="22"/>
          <w:szCs w:val="22"/>
        </w:rPr>
        <w:t xml:space="preserve"> </w:t>
      </w:r>
      <w:r>
        <w:rPr>
          <w:sz w:val="22"/>
          <w:szCs w:val="22"/>
        </w:rPr>
        <w:t>il susseguirsi</w:t>
      </w:r>
      <w:r w:rsidRPr="00E33B55">
        <w:rPr>
          <w:sz w:val="22"/>
          <w:szCs w:val="22"/>
        </w:rPr>
        <w:t xml:space="preserve"> di contrapposizioni tra i gruppi tribali</w:t>
      </w:r>
      <w:r>
        <w:rPr>
          <w:sz w:val="22"/>
          <w:szCs w:val="22"/>
        </w:rPr>
        <w:t>,</w:t>
      </w:r>
      <w:r w:rsidRPr="00E33B55">
        <w:rPr>
          <w:sz w:val="22"/>
          <w:szCs w:val="22"/>
        </w:rPr>
        <w:t xml:space="preserve"> </w:t>
      </w:r>
      <w:r>
        <w:rPr>
          <w:sz w:val="22"/>
          <w:szCs w:val="22"/>
        </w:rPr>
        <w:t>che gestiscono il territorio secondo dinamiche “feudali” (suddivisione in aree d’influenza);</w:t>
      </w:r>
    </w:p>
    <w:p w14:paraId="0662B40B" w14:textId="109E01B3" w:rsidR="001D70B1" w:rsidRDefault="001D70B1" w:rsidP="00DC1538">
      <w:pPr>
        <w:pStyle w:val="Default"/>
        <w:numPr>
          <w:ilvl w:val="0"/>
          <w:numId w:val="5"/>
        </w:numPr>
        <w:spacing w:line="360" w:lineRule="auto"/>
        <w:ind w:left="284" w:hanging="284"/>
        <w:jc w:val="both"/>
        <w:rPr>
          <w:sz w:val="22"/>
          <w:szCs w:val="22"/>
        </w:rPr>
      </w:pPr>
      <w:proofErr w:type="gramStart"/>
      <w:r>
        <w:rPr>
          <w:sz w:val="22"/>
          <w:szCs w:val="22"/>
        </w:rPr>
        <w:t>reso</w:t>
      </w:r>
      <w:proofErr w:type="gramEnd"/>
      <w:r>
        <w:rPr>
          <w:sz w:val="22"/>
          <w:szCs w:val="22"/>
        </w:rPr>
        <w:t xml:space="preserve"> il territorio libico</w:t>
      </w:r>
      <w:r w:rsidRPr="00B16380">
        <w:rPr>
          <w:sz w:val="22"/>
          <w:szCs w:val="22"/>
        </w:rPr>
        <w:t xml:space="preserve"> perm</w:t>
      </w:r>
      <w:r>
        <w:rPr>
          <w:sz w:val="22"/>
          <w:szCs w:val="22"/>
        </w:rPr>
        <w:t>eabile all’</w:t>
      </w:r>
      <w:r w:rsidRPr="00B16380">
        <w:rPr>
          <w:sz w:val="22"/>
          <w:szCs w:val="22"/>
        </w:rPr>
        <w:t xml:space="preserve">instabilità derivante dallo sviluppo di traffici transnazionali di </w:t>
      </w:r>
      <w:r>
        <w:rPr>
          <w:sz w:val="22"/>
          <w:szCs w:val="22"/>
        </w:rPr>
        <w:t>varia</w:t>
      </w:r>
      <w:r w:rsidRPr="00B16380">
        <w:rPr>
          <w:sz w:val="22"/>
          <w:szCs w:val="22"/>
        </w:rPr>
        <w:t xml:space="preserve"> natura</w:t>
      </w:r>
      <w:r>
        <w:rPr>
          <w:sz w:val="22"/>
          <w:szCs w:val="22"/>
        </w:rPr>
        <w:t xml:space="preserve">, provenienti dalle aree interne del </w:t>
      </w:r>
      <w:r w:rsidR="003865D0">
        <w:rPr>
          <w:sz w:val="22"/>
          <w:szCs w:val="22"/>
        </w:rPr>
        <w:t xml:space="preserve">Continente </w:t>
      </w:r>
      <w:r>
        <w:rPr>
          <w:sz w:val="22"/>
          <w:szCs w:val="22"/>
        </w:rPr>
        <w:t>africano.</w:t>
      </w:r>
    </w:p>
    <w:p w14:paraId="4B03E87A" w14:textId="59F44234" w:rsidR="001D70B1" w:rsidRPr="00842E9E" w:rsidRDefault="001D70B1" w:rsidP="00DC1538">
      <w:pPr>
        <w:pStyle w:val="Default"/>
        <w:spacing w:line="360" w:lineRule="auto"/>
        <w:jc w:val="both"/>
        <w:rPr>
          <w:sz w:val="22"/>
          <w:szCs w:val="22"/>
        </w:rPr>
      </w:pPr>
      <w:r w:rsidRPr="00842E9E">
        <w:rPr>
          <w:sz w:val="22"/>
          <w:szCs w:val="22"/>
        </w:rPr>
        <w:t>In TRIPOLITANIA</w:t>
      </w:r>
      <w:r>
        <w:rPr>
          <w:sz w:val="22"/>
          <w:szCs w:val="22"/>
        </w:rPr>
        <w:t>,</w:t>
      </w:r>
      <w:r w:rsidRPr="00842E9E">
        <w:rPr>
          <w:sz w:val="22"/>
          <w:szCs w:val="22"/>
        </w:rPr>
        <w:t xml:space="preserve"> gli ultimi eventi ad alto impatto mediatico riconducibili alle VEO risalgono al 2018</w:t>
      </w:r>
      <w:r>
        <w:rPr>
          <w:sz w:val="22"/>
          <w:szCs w:val="22"/>
        </w:rPr>
        <w:t>,</w:t>
      </w:r>
      <w:r w:rsidRPr="00842E9E">
        <w:rPr>
          <w:sz w:val="22"/>
          <w:szCs w:val="22"/>
        </w:rPr>
        <w:t xml:space="preserve"> mentre </w:t>
      </w:r>
      <w:r>
        <w:rPr>
          <w:sz w:val="22"/>
          <w:szCs w:val="22"/>
        </w:rPr>
        <w:t xml:space="preserve">in FEZZAN, </w:t>
      </w:r>
      <w:r w:rsidRPr="00842E9E">
        <w:rPr>
          <w:sz w:val="22"/>
          <w:szCs w:val="22"/>
        </w:rPr>
        <w:t xml:space="preserve">attacchi di minore entità si sono verificati </w:t>
      </w:r>
      <w:r>
        <w:rPr>
          <w:sz w:val="22"/>
          <w:szCs w:val="22"/>
        </w:rPr>
        <w:t>fino al</w:t>
      </w:r>
      <w:r w:rsidRPr="00842E9E">
        <w:rPr>
          <w:sz w:val="22"/>
          <w:szCs w:val="22"/>
        </w:rPr>
        <w:t xml:space="preserve"> 2022.</w:t>
      </w:r>
    </w:p>
    <w:p w14:paraId="023362B4" w14:textId="18B3F530" w:rsidR="00923C5B" w:rsidRDefault="00923C5B" w:rsidP="00811082">
      <w:pPr>
        <w:pStyle w:val="Default"/>
        <w:spacing w:line="360" w:lineRule="auto"/>
        <w:jc w:val="both"/>
        <w:rPr>
          <w:sz w:val="22"/>
          <w:szCs w:val="22"/>
        </w:rPr>
      </w:pPr>
      <w:r>
        <w:rPr>
          <w:sz w:val="22"/>
          <w:szCs w:val="22"/>
        </w:rPr>
        <w:t>Nel merito, negli ultimi anni</w:t>
      </w:r>
      <w:r w:rsidR="003865D0">
        <w:rPr>
          <w:sz w:val="22"/>
          <w:szCs w:val="22"/>
        </w:rPr>
        <w:t>,</w:t>
      </w:r>
      <w:r>
        <w:rPr>
          <w:sz w:val="22"/>
          <w:szCs w:val="22"/>
        </w:rPr>
        <w:t xml:space="preserve"> più volte le Autorità di TRIPOLI e della CIRENAICA hanno annunciato di voler avviare operazioni militari finalizzate a ripristinare una cornice di sicurezza adeguata. Tuttavia, tali propositi hanno avuto esclusivamente rilevanza mediatica, senza trovare riscontro in attività militari che abbiano realmente modificato le dinamiche dell’area. </w:t>
      </w:r>
    </w:p>
    <w:p w14:paraId="60B79E5C" w14:textId="77777777" w:rsidR="001D70B1" w:rsidRDefault="001D70B1" w:rsidP="00811082">
      <w:pPr>
        <w:pStyle w:val="Default"/>
        <w:spacing w:line="360" w:lineRule="auto"/>
        <w:jc w:val="both"/>
        <w:rPr>
          <w:sz w:val="22"/>
          <w:szCs w:val="22"/>
        </w:rPr>
      </w:pPr>
    </w:p>
    <w:p w14:paraId="2036680A" w14:textId="77777777" w:rsidR="001D70B1" w:rsidRPr="00842E9E" w:rsidRDefault="001D70B1" w:rsidP="00811082">
      <w:pPr>
        <w:pStyle w:val="Default"/>
        <w:spacing w:after="120" w:line="360" w:lineRule="auto"/>
        <w:jc w:val="both"/>
        <w:rPr>
          <w:sz w:val="22"/>
          <w:szCs w:val="22"/>
        </w:rPr>
      </w:pPr>
      <w:r w:rsidRPr="00842E9E">
        <w:rPr>
          <w:b/>
          <w:bCs/>
          <w:sz w:val="22"/>
          <w:szCs w:val="22"/>
        </w:rPr>
        <w:t xml:space="preserve">Situazione di Sicurezza: TRIPOLI </w:t>
      </w:r>
    </w:p>
    <w:p w14:paraId="1EDD25B1" w14:textId="4AD1FF04" w:rsidR="009F5E35" w:rsidRPr="00DC1538" w:rsidRDefault="001D70B1" w:rsidP="00811082">
      <w:pPr>
        <w:pStyle w:val="Default"/>
        <w:spacing w:line="360" w:lineRule="auto"/>
        <w:jc w:val="both"/>
        <w:rPr>
          <w:sz w:val="22"/>
          <w:szCs w:val="22"/>
        </w:rPr>
      </w:pPr>
      <w:r w:rsidRPr="009F5E35">
        <w:rPr>
          <w:bCs/>
          <w:iCs/>
          <w:sz w:val="22"/>
          <w:szCs w:val="22"/>
        </w:rPr>
        <w:t>Nella Grande TRIPOLI, i</w:t>
      </w:r>
      <w:r w:rsidRPr="009F5E35">
        <w:rPr>
          <w:sz w:val="22"/>
          <w:szCs w:val="22"/>
        </w:rPr>
        <w:t xml:space="preserve">l dualismo politico </w:t>
      </w:r>
      <w:r w:rsidR="003865D0">
        <w:rPr>
          <w:sz w:val="22"/>
          <w:szCs w:val="22"/>
        </w:rPr>
        <w:t xml:space="preserve">sopra menzionato </w:t>
      </w:r>
      <w:r w:rsidRPr="009F5E35">
        <w:rPr>
          <w:sz w:val="22"/>
          <w:szCs w:val="22"/>
        </w:rPr>
        <w:t xml:space="preserve">si riflette sul panorama miliziano, che risulta spaccato in </w:t>
      </w:r>
      <w:r w:rsidRPr="00DC1538">
        <w:rPr>
          <w:sz w:val="22"/>
          <w:szCs w:val="22"/>
        </w:rPr>
        <w:t xml:space="preserve">funzione del supporto alle due </w:t>
      </w:r>
      <w:proofErr w:type="spellStart"/>
      <w:r w:rsidRPr="00DC1538">
        <w:rPr>
          <w:i/>
          <w:sz w:val="22"/>
          <w:szCs w:val="22"/>
        </w:rPr>
        <w:t>governance</w:t>
      </w:r>
      <w:proofErr w:type="spellEnd"/>
      <w:r w:rsidRPr="00DC1538">
        <w:rPr>
          <w:sz w:val="22"/>
          <w:szCs w:val="22"/>
        </w:rPr>
        <w:t xml:space="preserve">. </w:t>
      </w:r>
    </w:p>
    <w:p w14:paraId="08811377" w14:textId="7531085A" w:rsidR="00DC1538" w:rsidRPr="00DC1538" w:rsidRDefault="00DC1538" w:rsidP="00811082">
      <w:pPr>
        <w:pStyle w:val="Default"/>
        <w:spacing w:line="360" w:lineRule="auto"/>
        <w:jc w:val="both"/>
        <w:rPr>
          <w:sz w:val="22"/>
          <w:szCs w:val="22"/>
        </w:rPr>
      </w:pPr>
      <w:r w:rsidRPr="00DC1538">
        <w:rPr>
          <w:sz w:val="22"/>
          <w:szCs w:val="22"/>
        </w:rPr>
        <w:t>L’ultimo tentativo di BISHAGHA (27 agosto 2022</w:t>
      </w:r>
      <w:r w:rsidRPr="00DC1538">
        <w:rPr>
          <w:rStyle w:val="Rimandonotaapidipagina"/>
          <w:rFonts w:cs="CIDFont+F4"/>
          <w:bCs/>
          <w:sz w:val="22"/>
          <w:szCs w:val="22"/>
        </w:rPr>
        <w:footnoteReference w:id="2"/>
      </w:r>
      <w:r w:rsidRPr="00DC1538">
        <w:rPr>
          <w:sz w:val="22"/>
          <w:szCs w:val="22"/>
        </w:rPr>
        <w:t xml:space="preserve">) ha determinato la riconfigurazione delle aree di influenza delle milizie, </w:t>
      </w:r>
      <w:r w:rsidR="003865D0">
        <w:rPr>
          <w:sz w:val="22"/>
          <w:szCs w:val="22"/>
        </w:rPr>
        <w:t xml:space="preserve">e </w:t>
      </w:r>
      <w:r w:rsidRPr="00DC1538">
        <w:rPr>
          <w:sz w:val="22"/>
          <w:szCs w:val="22"/>
        </w:rPr>
        <w:t xml:space="preserve">in particolare un allontanamento di quelle favorevoli alla </w:t>
      </w:r>
      <w:r w:rsidRPr="003865D0">
        <w:rPr>
          <w:i/>
          <w:sz w:val="22"/>
          <w:szCs w:val="22"/>
        </w:rPr>
        <w:t>leadership</w:t>
      </w:r>
      <w:r w:rsidRPr="00DC1538">
        <w:rPr>
          <w:sz w:val="22"/>
          <w:szCs w:val="22"/>
        </w:rPr>
        <w:t xml:space="preserve"> di BISHAGHA e il rafforzamento ed espansione di quelle fedeli a DBEIBAH, il quale, nonostante si confermi </w:t>
      </w:r>
      <w:r w:rsidRPr="00DC1538">
        <w:rPr>
          <w:i/>
          <w:sz w:val="22"/>
          <w:szCs w:val="22"/>
        </w:rPr>
        <w:t>leader</w:t>
      </w:r>
      <w:r w:rsidRPr="00DC1538">
        <w:rPr>
          <w:sz w:val="22"/>
          <w:szCs w:val="22"/>
        </w:rPr>
        <w:t xml:space="preserve"> della capitale, rimane dipendente dal supporto dei gruppi miliziani tripolini.</w:t>
      </w:r>
    </w:p>
    <w:p w14:paraId="7F020794" w14:textId="6B0D00CC" w:rsidR="009F5E35" w:rsidRPr="009F5E35" w:rsidRDefault="009F5E35" w:rsidP="00811082">
      <w:pPr>
        <w:pStyle w:val="Default"/>
        <w:spacing w:line="360" w:lineRule="auto"/>
        <w:jc w:val="both"/>
        <w:rPr>
          <w:rFonts w:cs="CIDFont+F4"/>
          <w:bCs/>
          <w:sz w:val="22"/>
          <w:szCs w:val="22"/>
        </w:rPr>
      </w:pPr>
      <w:r w:rsidRPr="00DC1538">
        <w:rPr>
          <w:sz w:val="22"/>
          <w:szCs w:val="22"/>
        </w:rPr>
        <w:t>Pertanto, al momento, l</w:t>
      </w:r>
      <w:r w:rsidRPr="00DC1538">
        <w:rPr>
          <w:rFonts w:cs="CIDFont+F4"/>
          <w:bCs/>
          <w:sz w:val="22"/>
          <w:szCs w:val="22"/>
        </w:rPr>
        <w:t>e possibilità che possa realmente verificarsi</w:t>
      </w:r>
      <w:r w:rsidRPr="009F5E35">
        <w:rPr>
          <w:rFonts w:cs="CIDFont+F4"/>
          <w:bCs/>
          <w:sz w:val="22"/>
          <w:szCs w:val="22"/>
        </w:rPr>
        <w:t xml:space="preserve"> un avvicendamento tra le due </w:t>
      </w:r>
      <w:proofErr w:type="spellStart"/>
      <w:r w:rsidRPr="009F5E35">
        <w:rPr>
          <w:rFonts w:cs="CIDFont+F4"/>
          <w:bCs/>
          <w:i/>
          <w:sz w:val="22"/>
          <w:szCs w:val="22"/>
        </w:rPr>
        <w:t>governance</w:t>
      </w:r>
      <w:proofErr w:type="spellEnd"/>
      <w:r w:rsidRPr="009F5E35">
        <w:rPr>
          <w:rFonts w:cs="CIDFont+F4"/>
          <w:bCs/>
          <w:sz w:val="22"/>
          <w:szCs w:val="22"/>
        </w:rPr>
        <w:t xml:space="preserve"> sono decisamente </w:t>
      </w:r>
      <w:r w:rsidR="003865D0">
        <w:rPr>
          <w:rFonts w:cs="CIDFont+F4"/>
          <w:bCs/>
          <w:sz w:val="22"/>
          <w:szCs w:val="22"/>
        </w:rPr>
        <w:t>limitate</w:t>
      </w:r>
      <w:r w:rsidRPr="009F5E35">
        <w:rPr>
          <w:rFonts w:cs="CIDFont+F4"/>
          <w:bCs/>
          <w:sz w:val="22"/>
          <w:szCs w:val="22"/>
        </w:rPr>
        <w:t xml:space="preserve">. Infatti, il </w:t>
      </w:r>
      <w:r w:rsidRPr="009F5E35">
        <w:rPr>
          <w:rFonts w:cs="CIDFont+F4"/>
          <w:bCs/>
          <w:i/>
          <w:sz w:val="22"/>
          <w:szCs w:val="22"/>
        </w:rPr>
        <w:t xml:space="preserve">Premier </w:t>
      </w:r>
      <w:r w:rsidRPr="009F5E35">
        <w:rPr>
          <w:rFonts w:cs="CIDFont+F4"/>
          <w:bCs/>
          <w:sz w:val="22"/>
          <w:szCs w:val="22"/>
        </w:rPr>
        <w:t>DBEIBAH gode dell’appoggio delle principali compagini miliziane tripolitane</w:t>
      </w:r>
      <w:r w:rsidR="003865D0">
        <w:rPr>
          <w:rFonts w:cs="CIDFont+F4"/>
          <w:bCs/>
          <w:sz w:val="22"/>
          <w:szCs w:val="22"/>
        </w:rPr>
        <w:t>,</w:t>
      </w:r>
      <w:r w:rsidRPr="009F5E35">
        <w:rPr>
          <w:rFonts w:cs="CIDFont+F4"/>
          <w:bCs/>
          <w:sz w:val="22"/>
          <w:szCs w:val="22"/>
        </w:rPr>
        <w:t xml:space="preserve"> polo di potere estremamente significativo per gli equilibri della TRIPOLITANIA.</w:t>
      </w:r>
      <w:r w:rsidRPr="009F5E35">
        <w:rPr>
          <w:b/>
          <w:bCs/>
          <w:iCs/>
          <w:sz w:val="22"/>
          <w:szCs w:val="22"/>
        </w:rPr>
        <w:t xml:space="preserve"> </w:t>
      </w:r>
      <w:r w:rsidRPr="009F5E35">
        <w:rPr>
          <w:bCs/>
          <w:iCs/>
          <w:sz w:val="22"/>
          <w:szCs w:val="22"/>
        </w:rPr>
        <w:t xml:space="preserve">La preminenza dei gruppi armati sulla scena della Capitale è dimostrata dalla suddivisione della città in zone di influenza, amministrate in maniera </w:t>
      </w:r>
      <w:r w:rsidR="003865D0">
        <w:rPr>
          <w:bCs/>
          <w:iCs/>
          <w:sz w:val="22"/>
          <w:szCs w:val="22"/>
        </w:rPr>
        <w:t>“</w:t>
      </w:r>
      <w:r w:rsidRPr="009F5E35">
        <w:rPr>
          <w:bCs/>
          <w:iCs/>
          <w:sz w:val="22"/>
          <w:szCs w:val="22"/>
        </w:rPr>
        <w:t>feudale</w:t>
      </w:r>
      <w:r w:rsidR="003865D0">
        <w:rPr>
          <w:bCs/>
          <w:iCs/>
          <w:sz w:val="22"/>
          <w:szCs w:val="22"/>
        </w:rPr>
        <w:t>”</w:t>
      </w:r>
      <w:r w:rsidRPr="009F5E35">
        <w:rPr>
          <w:bCs/>
          <w:iCs/>
          <w:sz w:val="22"/>
          <w:szCs w:val="22"/>
        </w:rPr>
        <w:t xml:space="preserve"> dalle milizie. Infatti, ogni formazione miliziana di TRIPOLI agisce in funzione della necessità di difendere e, se possibile, ampliare la sfera di potere del gruppo sociale di appartenenza</w:t>
      </w:r>
      <w:r>
        <w:rPr>
          <w:bCs/>
          <w:iCs/>
          <w:sz w:val="22"/>
          <w:szCs w:val="22"/>
        </w:rPr>
        <w:t>.</w:t>
      </w:r>
    </w:p>
    <w:p w14:paraId="341B323B" w14:textId="7633D142" w:rsidR="00842E9E" w:rsidRDefault="00842E9E" w:rsidP="00811082">
      <w:pPr>
        <w:pStyle w:val="Default"/>
        <w:spacing w:line="360" w:lineRule="auto"/>
        <w:jc w:val="both"/>
        <w:rPr>
          <w:sz w:val="22"/>
          <w:szCs w:val="22"/>
        </w:rPr>
      </w:pPr>
      <w:r>
        <w:rPr>
          <w:sz w:val="22"/>
          <w:szCs w:val="22"/>
        </w:rPr>
        <w:t xml:space="preserve">A causa della volatilità delle alleanze miliziane e dell’assenza di una struttura di sicurezza che possa arginare i comportamenti di stampo criminale-mafioso delle componenti </w:t>
      </w:r>
      <w:r>
        <w:rPr>
          <w:sz w:val="22"/>
          <w:szCs w:val="22"/>
        </w:rPr>
        <w:lastRenderedPageBreak/>
        <w:t>armate, risulta impossibile prevedere gli scontri tra milizie che saltuariamente affliggono la Capitale.</w:t>
      </w:r>
    </w:p>
    <w:p w14:paraId="5A191798" w14:textId="57646C66" w:rsidR="005A5ADF" w:rsidRDefault="00834FF7" w:rsidP="00811082">
      <w:pPr>
        <w:pStyle w:val="Default"/>
        <w:spacing w:line="360" w:lineRule="auto"/>
        <w:jc w:val="both"/>
        <w:rPr>
          <w:sz w:val="22"/>
          <w:szCs w:val="22"/>
        </w:rPr>
      </w:pPr>
      <w:r>
        <w:rPr>
          <w:sz w:val="22"/>
          <w:szCs w:val="22"/>
        </w:rPr>
        <w:t>L’imprevedibilità de</w:t>
      </w:r>
      <w:r w:rsidR="003865D0">
        <w:rPr>
          <w:sz w:val="22"/>
          <w:szCs w:val="22"/>
        </w:rPr>
        <w:t>gli scontri</w:t>
      </w:r>
      <w:r>
        <w:rPr>
          <w:sz w:val="22"/>
          <w:szCs w:val="22"/>
        </w:rPr>
        <w:t xml:space="preserve"> che interessano la Capitale</w:t>
      </w:r>
      <w:r w:rsidR="00DC1538">
        <w:rPr>
          <w:sz w:val="22"/>
          <w:szCs w:val="22"/>
        </w:rPr>
        <w:t xml:space="preserve"> si riverbera in maniera diretta sulla minaccia nei confronti del personale nazionale</w:t>
      </w:r>
      <w:r>
        <w:rPr>
          <w:sz w:val="22"/>
          <w:szCs w:val="22"/>
        </w:rPr>
        <w:t xml:space="preserve"> in teatro</w:t>
      </w:r>
      <w:r w:rsidR="00DC1538">
        <w:rPr>
          <w:sz w:val="22"/>
          <w:szCs w:val="22"/>
        </w:rPr>
        <w:t xml:space="preserve"> </w:t>
      </w:r>
      <w:r w:rsidR="00842E9E">
        <w:rPr>
          <w:sz w:val="22"/>
          <w:szCs w:val="22"/>
        </w:rPr>
        <w:t xml:space="preserve">perché, </w:t>
      </w:r>
      <w:r w:rsidR="003865D0">
        <w:rPr>
          <w:sz w:val="22"/>
          <w:szCs w:val="22"/>
        </w:rPr>
        <w:t xml:space="preserve">seppur </w:t>
      </w:r>
      <w:r w:rsidR="00842E9E">
        <w:rPr>
          <w:sz w:val="22"/>
          <w:szCs w:val="22"/>
        </w:rPr>
        <w:t>non emerg</w:t>
      </w:r>
      <w:r w:rsidR="003865D0">
        <w:rPr>
          <w:sz w:val="22"/>
          <w:szCs w:val="22"/>
        </w:rPr>
        <w:t>an</w:t>
      </w:r>
      <w:r w:rsidR="00842E9E">
        <w:rPr>
          <w:sz w:val="22"/>
          <w:szCs w:val="22"/>
        </w:rPr>
        <w:t xml:space="preserve">o, da parte del panorama miliziano tripolino, indicatori di insofferenza o ostilità contro il personale italiano, </w:t>
      </w:r>
      <w:r w:rsidR="003865D0">
        <w:rPr>
          <w:sz w:val="22"/>
          <w:szCs w:val="22"/>
        </w:rPr>
        <w:t xml:space="preserve">questi </w:t>
      </w:r>
      <w:r w:rsidR="00842E9E">
        <w:rPr>
          <w:sz w:val="22"/>
          <w:szCs w:val="22"/>
        </w:rPr>
        <w:t>rappresenta</w:t>
      </w:r>
      <w:r>
        <w:rPr>
          <w:sz w:val="22"/>
          <w:szCs w:val="22"/>
        </w:rPr>
        <w:t>no</w:t>
      </w:r>
      <w:r w:rsidR="00842E9E">
        <w:rPr>
          <w:sz w:val="22"/>
          <w:szCs w:val="22"/>
        </w:rPr>
        <w:t xml:space="preserve"> il pericolo maggiore </w:t>
      </w:r>
      <w:r w:rsidR="003865D0">
        <w:rPr>
          <w:sz w:val="22"/>
          <w:szCs w:val="22"/>
        </w:rPr>
        <w:t xml:space="preserve">(seppur indiretto) </w:t>
      </w:r>
      <w:r w:rsidR="00842E9E">
        <w:rPr>
          <w:sz w:val="22"/>
          <w:szCs w:val="22"/>
        </w:rPr>
        <w:t xml:space="preserve">per </w:t>
      </w:r>
      <w:r>
        <w:rPr>
          <w:sz w:val="22"/>
          <w:szCs w:val="22"/>
        </w:rPr>
        <w:t xml:space="preserve">il dispositivo </w:t>
      </w:r>
      <w:r w:rsidR="003865D0">
        <w:rPr>
          <w:sz w:val="22"/>
          <w:szCs w:val="22"/>
        </w:rPr>
        <w:t>nazionale</w:t>
      </w:r>
      <w:r w:rsidR="00842E9E">
        <w:rPr>
          <w:sz w:val="22"/>
          <w:szCs w:val="22"/>
        </w:rPr>
        <w:t xml:space="preserve">. </w:t>
      </w:r>
    </w:p>
    <w:p w14:paraId="4BD33D69" w14:textId="77777777" w:rsidR="00834FF7" w:rsidRDefault="00834FF7" w:rsidP="00811082">
      <w:pPr>
        <w:pStyle w:val="Default"/>
        <w:spacing w:line="360" w:lineRule="auto"/>
        <w:jc w:val="both"/>
        <w:rPr>
          <w:sz w:val="22"/>
          <w:szCs w:val="22"/>
        </w:rPr>
      </w:pPr>
    </w:p>
    <w:p w14:paraId="3C1C4896" w14:textId="7C31DA21" w:rsidR="00842E9E" w:rsidRPr="00842E9E" w:rsidRDefault="00842E9E" w:rsidP="00811082">
      <w:pPr>
        <w:pStyle w:val="Default"/>
        <w:spacing w:after="120" w:line="360" w:lineRule="auto"/>
        <w:jc w:val="both"/>
        <w:rPr>
          <w:sz w:val="22"/>
          <w:szCs w:val="22"/>
        </w:rPr>
      </w:pPr>
      <w:r w:rsidRPr="00842E9E">
        <w:rPr>
          <w:b/>
          <w:bCs/>
          <w:sz w:val="22"/>
          <w:szCs w:val="22"/>
        </w:rPr>
        <w:t xml:space="preserve">Situazione di Sicurezza: quartiere di </w:t>
      </w:r>
      <w:r w:rsidR="00834FF7" w:rsidRPr="00842E9E">
        <w:rPr>
          <w:b/>
          <w:bCs/>
          <w:sz w:val="22"/>
          <w:szCs w:val="22"/>
        </w:rPr>
        <w:t xml:space="preserve">AL DAHRA </w:t>
      </w:r>
    </w:p>
    <w:p w14:paraId="24197EF5" w14:textId="739F24EA" w:rsidR="00842E9E" w:rsidRPr="00842E9E" w:rsidRDefault="00842E9E" w:rsidP="00811082">
      <w:pPr>
        <w:pStyle w:val="Default"/>
        <w:spacing w:line="360" w:lineRule="auto"/>
        <w:jc w:val="both"/>
        <w:rPr>
          <w:sz w:val="22"/>
          <w:szCs w:val="22"/>
        </w:rPr>
      </w:pPr>
      <w:r w:rsidRPr="00842E9E">
        <w:rPr>
          <w:sz w:val="22"/>
          <w:szCs w:val="22"/>
        </w:rPr>
        <w:t>Il</w:t>
      </w:r>
      <w:r w:rsidR="009F5E35">
        <w:rPr>
          <w:sz w:val="22"/>
          <w:szCs w:val="22"/>
        </w:rPr>
        <w:t xml:space="preserve"> </w:t>
      </w:r>
      <w:r w:rsidRPr="00842E9E">
        <w:rPr>
          <w:sz w:val="22"/>
          <w:szCs w:val="22"/>
        </w:rPr>
        <w:t>quartiere di AL DAHRA, sede del Comando di MIASIT</w:t>
      </w:r>
      <w:r w:rsidR="003865D0">
        <w:rPr>
          <w:sz w:val="22"/>
          <w:szCs w:val="22"/>
        </w:rPr>
        <w:t>,</w:t>
      </w:r>
      <w:r w:rsidRPr="00842E9E">
        <w:rPr>
          <w:sz w:val="22"/>
          <w:szCs w:val="22"/>
        </w:rPr>
        <w:t xml:space="preserve"> è uno dei quartieri residenziali del centro della città di TRIPOLI. I quartieri centrali </w:t>
      </w:r>
      <w:r w:rsidR="005A5ADF">
        <w:rPr>
          <w:sz w:val="22"/>
          <w:szCs w:val="22"/>
        </w:rPr>
        <w:t>della Capitale</w:t>
      </w:r>
      <w:r w:rsidRPr="00842E9E">
        <w:rPr>
          <w:sz w:val="22"/>
          <w:szCs w:val="22"/>
        </w:rPr>
        <w:t xml:space="preserve"> sono caratterizzati dalla presenza di numerose pattuglie della polizia (e</w:t>
      </w:r>
      <w:r w:rsidR="005A5ADF">
        <w:rPr>
          <w:sz w:val="22"/>
          <w:szCs w:val="22"/>
        </w:rPr>
        <w:t>s</w:t>
      </w:r>
      <w:r w:rsidRPr="00842E9E">
        <w:rPr>
          <w:sz w:val="22"/>
          <w:szCs w:val="22"/>
        </w:rPr>
        <w:t xml:space="preserve">. </w:t>
      </w:r>
      <w:r w:rsidRPr="00842E9E">
        <w:rPr>
          <w:i/>
          <w:iCs/>
          <w:sz w:val="22"/>
          <w:szCs w:val="22"/>
        </w:rPr>
        <w:t xml:space="preserve">Law </w:t>
      </w:r>
      <w:proofErr w:type="spellStart"/>
      <w:r w:rsidRPr="00842E9E">
        <w:rPr>
          <w:i/>
          <w:iCs/>
          <w:sz w:val="22"/>
          <w:szCs w:val="22"/>
        </w:rPr>
        <w:t>Enforcement</w:t>
      </w:r>
      <w:proofErr w:type="spellEnd"/>
      <w:r w:rsidRPr="00842E9E">
        <w:rPr>
          <w:i/>
          <w:iCs/>
          <w:sz w:val="22"/>
          <w:szCs w:val="22"/>
        </w:rPr>
        <w:t xml:space="preserve"> Force</w:t>
      </w:r>
      <w:r w:rsidR="005A5ADF">
        <w:rPr>
          <w:i/>
          <w:iCs/>
          <w:sz w:val="22"/>
          <w:szCs w:val="22"/>
        </w:rPr>
        <w:t xml:space="preserve"> </w:t>
      </w:r>
      <w:r w:rsidRPr="00842E9E">
        <w:rPr>
          <w:sz w:val="22"/>
          <w:szCs w:val="22"/>
        </w:rPr>
        <w:t>-</w:t>
      </w:r>
      <w:r w:rsidR="005A5ADF">
        <w:rPr>
          <w:sz w:val="22"/>
          <w:szCs w:val="22"/>
        </w:rPr>
        <w:t xml:space="preserve"> </w:t>
      </w:r>
      <w:r w:rsidRPr="00842E9E">
        <w:rPr>
          <w:sz w:val="22"/>
          <w:szCs w:val="22"/>
        </w:rPr>
        <w:t>LEF) che stazionano presso le principali piazze, incroci ed edifici pubblici. Il quartiere AL DAHRA</w:t>
      </w:r>
      <w:r w:rsidR="005A5ADF">
        <w:rPr>
          <w:sz w:val="22"/>
          <w:szCs w:val="22"/>
        </w:rPr>
        <w:t xml:space="preserve"> </w:t>
      </w:r>
      <w:r w:rsidRPr="00842E9E">
        <w:rPr>
          <w:sz w:val="22"/>
          <w:szCs w:val="22"/>
        </w:rPr>
        <w:t>rientra all’interno di un’area più vasta</w:t>
      </w:r>
      <w:r w:rsidR="003865D0">
        <w:rPr>
          <w:sz w:val="22"/>
          <w:szCs w:val="22"/>
        </w:rPr>
        <w:t>,</w:t>
      </w:r>
      <w:r w:rsidRPr="00842E9E">
        <w:rPr>
          <w:sz w:val="22"/>
          <w:szCs w:val="22"/>
        </w:rPr>
        <w:t xml:space="preserve"> </w:t>
      </w:r>
      <w:r w:rsidR="003865D0">
        <w:rPr>
          <w:sz w:val="22"/>
          <w:szCs w:val="22"/>
        </w:rPr>
        <w:t>controllata</w:t>
      </w:r>
      <w:r w:rsidRPr="00842E9E">
        <w:rPr>
          <w:sz w:val="22"/>
          <w:szCs w:val="22"/>
        </w:rPr>
        <w:t xml:space="preserve"> da unità della </w:t>
      </w:r>
      <w:r w:rsidRPr="00842E9E">
        <w:rPr>
          <w:i/>
          <w:iCs/>
          <w:sz w:val="22"/>
          <w:szCs w:val="22"/>
        </w:rPr>
        <w:t xml:space="preserve">Special </w:t>
      </w:r>
      <w:proofErr w:type="spellStart"/>
      <w:r w:rsidRPr="00842E9E">
        <w:rPr>
          <w:i/>
          <w:iCs/>
          <w:sz w:val="22"/>
          <w:szCs w:val="22"/>
        </w:rPr>
        <w:t>Deterrence</w:t>
      </w:r>
      <w:proofErr w:type="spellEnd"/>
      <w:r w:rsidRPr="00842E9E">
        <w:rPr>
          <w:i/>
          <w:iCs/>
          <w:sz w:val="22"/>
          <w:szCs w:val="22"/>
        </w:rPr>
        <w:t xml:space="preserve"> </w:t>
      </w:r>
      <w:proofErr w:type="spellStart"/>
      <w:r w:rsidRPr="00842E9E">
        <w:rPr>
          <w:i/>
          <w:iCs/>
          <w:sz w:val="22"/>
          <w:szCs w:val="22"/>
        </w:rPr>
        <w:t>Forces</w:t>
      </w:r>
      <w:proofErr w:type="spellEnd"/>
      <w:r w:rsidR="005A5ADF">
        <w:rPr>
          <w:i/>
          <w:iCs/>
          <w:sz w:val="22"/>
          <w:szCs w:val="22"/>
        </w:rPr>
        <w:t xml:space="preserve"> </w:t>
      </w:r>
      <w:r w:rsidRPr="00842E9E">
        <w:rPr>
          <w:sz w:val="22"/>
          <w:szCs w:val="22"/>
        </w:rPr>
        <w:t>(RADA)</w:t>
      </w:r>
      <w:r w:rsidR="003865D0">
        <w:rPr>
          <w:sz w:val="22"/>
          <w:szCs w:val="22"/>
        </w:rPr>
        <w:t>,</w:t>
      </w:r>
      <w:r w:rsidRPr="00842E9E">
        <w:rPr>
          <w:sz w:val="22"/>
          <w:szCs w:val="22"/>
        </w:rPr>
        <w:t xml:space="preserve"> sott</w:t>
      </w:r>
      <w:r w:rsidR="005A5ADF">
        <w:rPr>
          <w:sz w:val="22"/>
          <w:szCs w:val="22"/>
        </w:rPr>
        <w:t xml:space="preserve">o il comando di Abdul </w:t>
      </w:r>
      <w:proofErr w:type="spellStart"/>
      <w:r w:rsidR="005A5ADF">
        <w:rPr>
          <w:sz w:val="22"/>
          <w:szCs w:val="22"/>
        </w:rPr>
        <w:t>Rauf</w:t>
      </w:r>
      <w:proofErr w:type="spellEnd"/>
      <w:r w:rsidR="005A5ADF">
        <w:rPr>
          <w:sz w:val="22"/>
          <w:szCs w:val="22"/>
        </w:rPr>
        <w:t xml:space="preserve"> KARAH,</w:t>
      </w:r>
      <w:r w:rsidRPr="00842E9E">
        <w:rPr>
          <w:sz w:val="22"/>
          <w:szCs w:val="22"/>
        </w:rPr>
        <w:t xml:space="preserve"> affiliato al GUN di DBEIBAH e tra i </w:t>
      </w:r>
      <w:r w:rsidRPr="00842E9E">
        <w:rPr>
          <w:i/>
          <w:iCs/>
          <w:sz w:val="22"/>
          <w:szCs w:val="22"/>
        </w:rPr>
        <w:t>leader</w:t>
      </w:r>
      <w:r w:rsidR="005A5ADF">
        <w:rPr>
          <w:i/>
          <w:iCs/>
          <w:sz w:val="22"/>
          <w:szCs w:val="22"/>
        </w:rPr>
        <w:t xml:space="preserve"> </w:t>
      </w:r>
      <w:r w:rsidRPr="00842E9E">
        <w:rPr>
          <w:sz w:val="22"/>
          <w:szCs w:val="22"/>
        </w:rPr>
        <w:t>più influenti della città</w:t>
      </w:r>
      <w:r w:rsidR="005A5ADF">
        <w:rPr>
          <w:sz w:val="22"/>
          <w:szCs w:val="22"/>
        </w:rPr>
        <w:t>.</w:t>
      </w:r>
    </w:p>
    <w:p w14:paraId="0128417E" w14:textId="3B581AF2" w:rsidR="00842E9E" w:rsidRPr="00842E9E" w:rsidRDefault="00842E9E" w:rsidP="00811082">
      <w:pPr>
        <w:pStyle w:val="Default"/>
        <w:spacing w:line="360" w:lineRule="auto"/>
        <w:jc w:val="both"/>
        <w:rPr>
          <w:sz w:val="22"/>
          <w:szCs w:val="22"/>
        </w:rPr>
      </w:pPr>
      <w:r w:rsidRPr="00842E9E">
        <w:rPr>
          <w:sz w:val="22"/>
          <w:szCs w:val="22"/>
        </w:rPr>
        <w:t>All’interno del quartiere AL DAHRA</w:t>
      </w:r>
      <w:r w:rsidR="005A5ADF">
        <w:rPr>
          <w:sz w:val="22"/>
          <w:szCs w:val="22"/>
        </w:rPr>
        <w:t xml:space="preserve"> </w:t>
      </w:r>
      <w:r w:rsidRPr="00842E9E">
        <w:rPr>
          <w:sz w:val="22"/>
          <w:szCs w:val="22"/>
        </w:rPr>
        <w:t>e delle aree limitrofe</w:t>
      </w:r>
      <w:r w:rsidR="005A5ADF">
        <w:rPr>
          <w:sz w:val="22"/>
          <w:szCs w:val="22"/>
        </w:rPr>
        <w:t>, a causa dell’alta concertazione</w:t>
      </w:r>
      <w:r w:rsidR="00834FF7">
        <w:rPr>
          <w:sz w:val="22"/>
          <w:szCs w:val="22"/>
        </w:rPr>
        <w:t xml:space="preserve"> di</w:t>
      </w:r>
      <w:r w:rsidRPr="00842E9E">
        <w:rPr>
          <w:sz w:val="22"/>
          <w:szCs w:val="22"/>
        </w:rPr>
        <w:t xml:space="preserve"> edifici governativi</w:t>
      </w:r>
      <w:r w:rsidR="003865D0">
        <w:rPr>
          <w:sz w:val="22"/>
          <w:szCs w:val="22"/>
        </w:rPr>
        <w:t>,</w:t>
      </w:r>
      <w:r w:rsidRPr="00842E9E">
        <w:rPr>
          <w:sz w:val="22"/>
          <w:szCs w:val="22"/>
        </w:rPr>
        <w:t xml:space="preserve"> </w:t>
      </w:r>
      <w:r w:rsidR="005A5ADF">
        <w:rPr>
          <w:sz w:val="22"/>
          <w:szCs w:val="22"/>
        </w:rPr>
        <w:t>rileva la massiccia p</w:t>
      </w:r>
      <w:r w:rsidRPr="00842E9E">
        <w:rPr>
          <w:sz w:val="22"/>
          <w:szCs w:val="22"/>
        </w:rPr>
        <w:t>resenza di autoveicoli che portano chiaramente i distintivi delle u</w:t>
      </w:r>
      <w:r w:rsidR="005A5ADF">
        <w:rPr>
          <w:sz w:val="22"/>
          <w:szCs w:val="22"/>
        </w:rPr>
        <w:t>nità del comparto sicurezza (es</w:t>
      </w:r>
      <w:r w:rsidRPr="00842E9E">
        <w:rPr>
          <w:sz w:val="22"/>
          <w:szCs w:val="22"/>
        </w:rPr>
        <w:t xml:space="preserve">. Dipartimento delle Operazioni e della Sicurezza Giudiziaria, Direzione di Sicurezza di </w:t>
      </w:r>
      <w:r w:rsidR="005A5ADF" w:rsidRPr="00842E9E">
        <w:rPr>
          <w:sz w:val="22"/>
          <w:szCs w:val="22"/>
        </w:rPr>
        <w:t>TRIPOLI</w:t>
      </w:r>
      <w:r w:rsidRPr="00842E9E">
        <w:rPr>
          <w:sz w:val="22"/>
          <w:szCs w:val="22"/>
        </w:rPr>
        <w:t xml:space="preserve">). </w:t>
      </w:r>
    </w:p>
    <w:p w14:paraId="122B7707" w14:textId="4BFA59D1" w:rsidR="00842E9E" w:rsidRPr="00842E9E" w:rsidRDefault="00842E9E" w:rsidP="00811082">
      <w:pPr>
        <w:spacing w:after="0" w:line="360" w:lineRule="auto"/>
        <w:jc w:val="both"/>
        <w:rPr>
          <w:rFonts w:ascii="Century Gothic" w:hAnsi="Century Gothic"/>
        </w:rPr>
      </w:pPr>
      <w:r w:rsidRPr="00842E9E">
        <w:rPr>
          <w:rFonts w:ascii="Century Gothic" w:hAnsi="Century Gothic"/>
        </w:rPr>
        <w:t>Le aree di TRIPOLI che ospitano le sedi diplomatiche o dichiarate di interesse diplomatico (e</w:t>
      </w:r>
      <w:r w:rsidR="00E248AD">
        <w:rPr>
          <w:rFonts w:ascii="Century Gothic" w:hAnsi="Century Gothic"/>
        </w:rPr>
        <w:t>s</w:t>
      </w:r>
      <w:r w:rsidRPr="00842E9E">
        <w:rPr>
          <w:rFonts w:ascii="Century Gothic" w:hAnsi="Century Gothic"/>
        </w:rPr>
        <w:t xml:space="preserve">. Hotel </w:t>
      </w:r>
      <w:r w:rsidR="005A5ADF" w:rsidRPr="00842E9E">
        <w:rPr>
          <w:rFonts w:ascii="Century Gothic" w:hAnsi="Century Gothic"/>
        </w:rPr>
        <w:t>AL-WADDAN</w:t>
      </w:r>
      <w:r w:rsidRPr="00842E9E">
        <w:rPr>
          <w:rFonts w:ascii="Century Gothic" w:hAnsi="Century Gothic"/>
        </w:rPr>
        <w:t>) sono soggette all’ulteriore controllo di un dispositivo di sicurezza della Polizia Diplomatica. La Polizia Diplomatica</w:t>
      </w:r>
      <w:r w:rsidR="003865D0">
        <w:rPr>
          <w:rFonts w:ascii="Century Gothic" w:hAnsi="Century Gothic"/>
        </w:rPr>
        <w:t>,</w:t>
      </w:r>
      <w:r w:rsidRPr="00842E9E">
        <w:rPr>
          <w:rFonts w:ascii="Century Gothic" w:hAnsi="Century Gothic"/>
        </w:rPr>
        <w:t xml:space="preserve"> per la sensibilità dei compiti che svolge</w:t>
      </w:r>
      <w:r w:rsidR="003865D0">
        <w:rPr>
          <w:rFonts w:ascii="Century Gothic" w:hAnsi="Century Gothic"/>
        </w:rPr>
        <w:t>,</w:t>
      </w:r>
      <w:r w:rsidRPr="00842E9E">
        <w:rPr>
          <w:rFonts w:ascii="Century Gothic" w:hAnsi="Century Gothic"/>
        </w:rPr>
        <w:t xml:space="preserve"> è inserita all’interno della più importante Agenzia di</w:t>
      </w:r>
      <w:r w:rsidR="005A5ADF">
        <w:rPr>
          <w:rFonts w:ascii="Century Gothic" w:hAnsi="Century Gothic"/>
        </w:rPr>
        <w:t xml:space="preserve"> </w:t>
      </w:r>
      <w:r w:rsidRPr="00842E9E">
        <w:rPr>
          <w:rFonts w:ascii="Century Gothic" w:hAnsi="Century Gothic"/>
          <w:i/>
          <w:iCs/>
        </w:rPr>
        <w:t>intelligence</w:t>
      </w:r>
      <w:r w:rsidR="005A5ADF">
        <w:rPr>
          <w:rFonts w:ascii="Century Gothic" w:hAnsi="Century Gothic"/>
          <w:i/>
          <w:iCs/>
        </w:rPr>
        <w:t xml:space="preserve"> </w:t>
      </w:r>
      <w:r w:rsidRPr="00842E9E">
        <w:rPr>
          <w:rFonts w:ascii="Century Gothic" w:hAnsi="Century Gothic"/>
        </w:rPr>
        <w:t>libica</w:t>
      </w:r>
      <w:r w:rsidR="005A5ADF">
        <w:rPr>
          <w:rFonts w:ascii="Century Gothic" w:hAnsi="Century Gothic"/>
        </w:rPr>
        <w:t>,</w:t>
      </w:r>
      <w:r w:rsidRPr="00842E9E">
        <w:rPr>
          <w:rFonts w:ascii="Century Gothic" w:hAnsi="Century Gothic"/>
        </w:rPr>
        <w:t xml:space="preserve"> il </w:t>
      </w:r>
      <w:proofErr w:type="spellStart"/>
      <w:r w:rsidRPr="00842E9E">
        <w:rPr>
          <w:rFonts w:ascii="Century Gothic" w:hAnsi="Century Gothic"/>
          <w:i/>
          <w:iCs/>
        </w:rPr>
        <w:t>Libyan</w:t>
      </w:r>
      <w:proofErr w:type="spellEnd"/>
      <w:r w:rsidRPr="00842E9E">
        <w:rPr>
          <w:rFonts w:ascii="Century Gothic" w:hAnsi="Century Gothic"/>
          <w:i/>
          <w:iCs/>
        </w:rPr>
        <w:t xml:space="preserve"> </w:t>
      </w:r>
      <w:proofErr w:type="spellStart"/>
      <w:r w:rsidRPr="00842E9E">
        <w:rPr>
          <w:rFonts w:ascii="Century Gothic" w:hAnsi="Century Gothic"/>
          <w:i/>
          <w:iCs/>
        </w:rPr>
        <w:t>Iintelligence</w:t>
      </w:r>
      <w:proofErr w:type="spellEnd"/>
      <w:r w:rsidRPr="00842E9E">
        <w:rPr>
          <w:rFonts w:ascii="Century Gothic" w:hAnsi="Century Gothic"/>
          <w:i/>
          <w:iCs/>
        </w:rPr>
        <w:t xml:space="preserve"> Service</w:t>
      </w:r>
      <w:r w:rsidRPr="00842E9E">
        <w:rPr>
          <w:rFonts w:ascii="Century Gothic" w:hAnsi="Century Gothic"/>
        </w:rPr>
        <w:t>.</w:t>
      </w:r>
    </w:p>
    <w:sectPr w:rsidR="00842E9E" w:rsidRPr="00842E9E">
      <w:headerReference w:type="default" r:id="rId7"/>
      <w:footerReference w:type="default" r:id="rId8"/>
      <w:pgSz w:w="11906" w:h="16838"/>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2D290" w14:textId="77777777" w:rsidR="00CC1847" w:rsidRDefault="00CC1847" w:rsidP="0038089F">
      <w:pPr>
        <w:spacing w:after="0" w:line="240" w:lineRule="auto"/>
      </w:pPr>
      <w:r>
        <w:separator/>
      </w:r>
    </w:p>
  </w:endnote>
  <w:endnote w:type="continuationSeparator" w:id="0">
    <w:p w14:paraId="66F69791" w14:textId="77777777" w:rsidR="00CC1847" w:rsidRDefault="00CC1847" w:rsidP="00380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IDFont+F4">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BA346" w14:textId="7369D7FA" w:rsidR="0038089F" w:rsidRDefault="0038089F" w:rsidP="0038089F">
    <w:pPr>
      <w:pStyle w:val="Intestazione"/>
      <w:jc w:val="center"/>
    </w:pPr>
    <w:r w:rsidRPr="0038089F">
      <w:rPr>
        <w:b/>
      </w:rPr>
      <w:t>INFORMAZIONI NON CLASSIFICATE CONTROLLATE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FC680" w14:textId="77777777" w:rsidR="00CC1847" w:rsidRDefault="00CC1847" w:rsidP="0038089F">
      <w:pPr>
        <w:spacing w:after="0" w:line="240" w:lineRule="auto"/>
      </w:pPr>
      <w:r>
        <w:separator/>
      </w:r>
    </w:p>
  </w:footnote>
  <w:footnote w:type="continuationSeparator" w:id="0">
    <w:p w14:paraId="209F012F" w14:textId="77777777" w:rsidR="00CC1847" w:rsidRDefault="00CC1847" w:rsidP="0038089F">
      <w:pPr>
        <w:spacing w:after="0" w:line="240" w:lineRule="auto"/>
      </w:pPr>
      <w:r>
        <w:continuationSeparator/>
      </w:r>
    </w:p>
  </w:footnote>
  <w:footnote w:id="1">
    <w:p w14:paraId="35F74219" w14:textId="6814635F" w:rsidR="00A66D4F" w:rsidRPr="00624950" w:rsidRDefault="00A66D4F" w:rsidP="00A66D4F">
      <w:pPr>
        <w:pStyle w:val="Testonotaapidipagina"/>
        <w:tabs>
          <w:tab w:val="left" w:pos="180"/>
        </w:tabs>
        <w:ind w:left="180" w:hanging="180"/>
        <w:jc w:val="both"/>
      </w:pPr>
      <w:r>
        <w:rPr>
          <w:rStyle w:val="Rimandonotaapidipagina"/>
        </w:rPr>
        <w:footnoteRef/>
      </w:r>
      <w:r>
        <w:t xml:space="preserve"> </w:t>
      </w:r>
      <w:r>
        <w:tab/>
      </w:r>
      <w:r>
        <w:rPr>
          <w:rFonts w:ascii="Century Gothic" w:hAnsi="Century Gothic"/>
          <w:sz w:val="16"/>
        </w:rPr>
        <w:t>L’</w:t>
      </w:r>
      <w:r w:rsidRPr="00CA1134">
        <w:rPr>
          <w:rFonts w:ascii="Century Gothic" w:hAnsi="Century Gothic"/>
          <w:sz w:val="16"/>
        </w:rPr>
        <w:t>operazione “</w:t>
      </w:r>
      <w:proofErr w:type="spellStart"/>
      <w:r w:rsidRPr="00CA1134">
        <w:rPr>
          <w:rFonts w:ascii="Century Gothic" w:hAnsi="Century Gothic"/>
          <w:i/>
          <w:sz w:val="16"/>
        </w:rPr>
        <w:t>Flood</w:t>
      </w:r>
      <w:proofErr w:type="spellEnd"/>
      <w:r w:rsidRPr="00CA1134">
        <w:rPr>
          <w:rFonts w:ascii="Century Gothic" w:hAnsi="Century Gothic"/>
          <w:i/>
          <w:sz w:val="16"/>
        </w:rPr>
        <w:t xml:space="preserve"> of </w:t>
      </w:r>
      <w:proofErr w:type="spellStart"/>
      <w:r w:rsidRPr="00CA1134">
        <w:rPr>
          <w:rFonts w:ascii="Century Gothic" w:hAnsi="Century Gothic"/>
          <w:i/>
          <w:sz w:val="16"/>
        </w:rPr>
        <w:t>Dignity</w:t>
      </w:r>
      <w:proofErr w:type="spellEnd"/>
      <w:r w:rsidRPr="00CA1134">
        <w:rPr>
          <w:rFonts w:ascii="Century Gothic" w:hAnsi="Century Gothic"/>
          <w:i/>
          <w:sz w:val="16"/>
        </w:rPr>
        <w:t>”</w:t>
      </w:r>
      <w:r w:rsidRPr="00CA1134">
        <w:rPr>
          <w:rFonts w:ascii="Century Gothic" w:hAnsi="Century Gothic"/>
          <w:sz w:val="16"/>
        </w:rPr>
        <w:t xml:space="preserve">, </w:t>
      </w:r>
      <w:r>
        <w:rPr>
          <w:rFonts w:ascii="Century Gothic" w:hAnsi="Century Gothic"/>
          <w:sz w:val="16"/>
        </w:rPr>
        <w:t>finalizzata</w:t>
      </w:r>
      <w:r w:rsidRPr="00CA1134">
        <w:rPr>
          <w:rFonts w:ascii="Century Gothic" w:hAnsi="Century Gothic"/>
          <w:sz w:val="16"/>
        </w:rPr>
        <w:t xml:space="preserve"> ad acquisire militarmente il controllo della Capitale libica</w:t>
      </w:r>
      <w:r w:rsidRPr="00CA1134">
        <w:rPr>
          <w:rFonts w:ascii="Century Gothic" w:hAnsi="Century Gothic"/>
          <w:i/>
          <w:sz w:val="16"/>
        </w:rPr>
        <w:t>.</w:t>
      </w:r>
      <w:r w:rsidRPr="00CA1134">
        <w:rPr>
          <w:sz w:val="16"/>
        </w:rPr>
        <w:t xml:space="preserve"> </w:t>
      </w:r>
    </w:p>
  </w:footnote>
  <w:footnote w:id="2">
    <w:p w14:paraId="0DA11B8B" w14:textId="77777777" w:rsidR="00DC1538" w:rsidRPr="006717FD" w:rsidRDefault="00DC1538" w:rsidP="00DC1538">
      <w:pPr>
        <w:pStyle w:val="Testonotaapidipagina"/>
        <w:tabs>
          <w:tab w:val="left" w:pos="180"/>
        </w:tabs>
        <w:ind w:left="180" w:hanging="180"/>
        <w:jc w:val="both"/>
        <w:rPr>
          <w:rFonts w:ascii="Century Gothic" w:hAnsi="Century Gothic"/>
          <w:sz w:val="16"/>
          <w:szCs w:val="16"/>
        </w:rPr>
      </w:pPr>
      <w:r w:rsidRPr="00F412B0">
        <w:rPr>
          <w:rStyle w:val="Rimandonotaapidipagina"/>
          <w:rFonts w:ascii="Century Gothic" w:hAnsi="Century Gothic"/>
          <w:sz w:val="16"/>
          <w:szCs w:val="16"/>
        </w:rPr>
        <w:footnoteRef/>
      </w:r>
      <w:r w:rsidRPr="00F412B0">
        <w:rPr>
          <w:rFonts w:ascii="Century Gothic" w:hAnsi="Century Gothic"/>
          <w:sz w:val="16"/>
          <w:szCs w:val="16"/>
        </w:rPr>
        <w:t xml:space="preserve"> </w:t>
      </w:r>
      <w:r w:rsidRPr="00F412B0">
        <w:rPr>
          <w:rFonts w:ascii="Century Gothic" w:hAnsi="Century Gothic"/>
          <w:b/>
          <w:sz w:val="16"/>
          <w:szCs w:val="16"/>
        </w:rPr>
        <w:tab/>
      </w:r>
      <w:r w:rsidRPr="00F412B0">
        <w:rPr>
          <w:rFonts w:ascii="Century Gothic" w:hAnsi="Century Gothic"/>
          <w:sz w:val="16"/>
          <w:szCs w:val="16"/>
        </w:rPr>
        <w:t xml:space="preserve">A partire dalle prime ore </w:t>
      </w:r>
      <w:r w:rsidRPr="006717FD">
        <w:rPr>
          <w:rFonts w:ascii="Century Gothic" w:hAnsi="Century Gothic"/>
          <w:sz w:val="16"/>
          <w:szCs w:val="16"/>
        </w:rPr>
        <w:t xml:space="preserve">del 27 agosto, TRIPOLI è interessata da scontri tra diverse compagini miliziane. I combattimenti, legati inizialmente a dinamiche </w:t>
      </w:r>
      <w:r>
        <w:rPr>
          <w:rFonts w:ascii="Century Gothic" w:hAnsi="Century Gothic"/>
          <w:sz w:val="16"/>
          <w:szCs w:val="16"/>
        </w:rPr>
        <w:t>per il</w:t>
      </w:r>
      <w:r w:rsidRPr="006717FD">
        <w:rPr>
          <w:rFonts w:ascii="Century Gothic" w:hAnsi="Century Gothic"/>
          <w:sz w:val="16"/>
          <w:szCs w:val="16"/>
        </w:rPr>
        <w:t xml:space="preserve"> controllo del territorio, </w:t>
      </w:r>
      <w:r>
        <w:rPr>
          <w:rFonts w:ascii="Century Gothic" w:hAnsi="Century Gothic"/>
          <w:sz w:val="16"/>
          <w:szCs w:val="16"/>
        </w:rPr>
        <w:t xml:space="preserve">assumono </w:t>
      </w:r>
      <w:r w:rsidRPr="006717FD">
        <w:rPr>
          <w:rFonts w:ascii="Century Gothic" w:hAnsi="Century Gothic"/>
          <w:sz w:val="16"/>
          <w:szCs w:val="16"/>
        </w:rPr>
        <w:t>successivamente una connotazione politica, interessando le fazioni che supportano BISHAGA e quelle riferibili a DBEIBAH. Le contrapposizioni determina</w:t>
      </w:r>
      <w:r>
        <w:rPr>
          <w:rFonts w:ascii="Century Gothic" w:hAnsi="Century Gothic"/>
          <w:sz w:val="16"/>
          <w:szCs w:val="16"/>
        </w:rPr>
        <w:t>no</w:t>
      </w:r>
      <w:r w:rsidRPr="006717FD">
        <w:rPr>
          <w:rFonts w:ascii="Century Gothic" w:hAnsi="Century Gothic"/>
          <w:sz w:val="16"/>
          <w:szCs w:val="16"/>
        </w:rPr>
        <w:t xml:space="preserve"> l’espulsione da parte delle milizie pro-GUN di tutti i principali gruppi armati considerati favorevoli alla </w:t>
      </w:r>
      <w:r w:rsidRPr="006717FD">
        <w:rPr>
          <w:rFonts w:ascii="Century Gothic" w:hAnsi="Century Gothic"/>
          <w:i/>
          <w:iCs/>
          <w:sz w:val="16"/>
          <w:szCs w:val="16"/>
        </w:rPr>
        <w:t>Governance</w:t>
      </w:r>
      <w:r w:rsidRPr="006717FD">
        <w:rPr>
          <w:rFonts w:ascii="Century Gothic" w:hAnsi="Century Gothic"/>
          <w:sz w:val="16"/>
          <w:szCs w:val="16"/>
        </w:rPr>
        <w:t xml:space="preserve"> di BISHAGA.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7DBF1" w14:textId="1F7586CC" w:rsidR="0038089F" w:rsidRPr="0038089F" w:rsidRDefault="0038089F" w:rsidP="0038089F">
    <w:pPr>
      <w:pStyle w:val="Intestazione"/>
      <w:jc w:val="center"/>
      <w:rPr>
        <w:b/>
      </w:rPr>
    </w:pPr>
    <w:r w:rsidRPr="0038089F">
      <w:rPr>
        <w:b/>
      </w:rPr>
      <w:t>INFORMAZIONI NON CLASSIFICATE CONTROLLATE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D2036"/>
    <w:multiLevelType w:val="hybridMultilevel"/>
    <w:tmpl w:val="2E528942"/>
    <w:lvl w:ilvl="0" w:tplc="CFD4ADE8">
      <w:start w:val="44"/>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F646494"/>
    <w:multiLevelType w:val="hybridMultilevel"/>
    <w:tmpl w:val="A2C6F556"/>
    <w:lvl w:ilvl="0" w:tplc="3B7087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51B26251"/>
    <w:multiLevelType w:val="hybridMultilevel"/>
    <w:tmpl w:val="B9F0D544"/>
    <w:lvl w:ilvl="0" w:tplc="2182E66E">
      <w:start w:val="4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9C40F8C"/>
    <w:multiLevelType w:val="hybridMultilevel"/>
    <w:tmpl w:val="0192B172"/>
    <w:lvl w:ilvl="0" w:tplc="50D68000">
      <w:start w:val="44"/>
      <w:numFmt w:val="bullet"/>
      <w:lvlText w:val=""/>
      <w:lvlJc w:val="left"/>
      <w:pPr>
        <w:ind w:left="630" w:hanging="360"/>
      </w:pPr>
      <w:rPr>
        <w:rFonts w:ascii="Symbol" w:eastAsiaTheme="minorHAnsi" w:hAnsi="Symbol" w:cstheme="minorBidi" w:hint="default"/>
      </w:rPr>
    </w:lvl>
    <w:lvl w:ilvl="1" w:tplc="04100003" w:tentative="1">
      <w:start w:val="1"/>
      <w:numFmt w:val="bullet"/>
      <w:lvlText w:val="o"/>
      <w:lvlJc w:val="left"/>
      <w:pPr>
        <w:ind w:left="1350" w:hanging="360"/>
      </w:pPr>
      <w:rPr>
        <w:rFonts w:ascii="Courier New" w:hAnsi="Courier New" w:cs="Courier New" w:hint="default"/>
      </w:rPr>
    </w:lvl>
    <w:lvl w:ilvl="2" w:tplc="04100005" w:tentative="1">
      <w:start w:val="1"/>
      <w:numFmt w:val="bullet"/>
      <w:lvlText w:val=""/>
      <w:lvlJc w:val="left"/>
      <w:pPr>
        <w:ind w:left="2070" w:hanging="360"/>
      </w:pPr>
      <w:rPr>
        <w:rFonts w:ascii="Wingdings" w:hAnsi="Wingdings" w:hint="default"/>
      </w:rPr>
    </w:lvl>
    <w:lvl w:ilvl="3" w:tplc="04100001" w:tentative="1">
      <w:start w:val="1"/>
      <w:numFmt w:val="bullet"/>
      <w:lvlText w:val=""/>
      <w:lvlJc w:val="left"/>
      <w:pPr>
        <w:ind w:left="2790" w:hanging="360"/>
      </w:pPr>
      <w:rPr>
        <w:rFonts w:ascii="Symbol" w:hAnsi="Symbol" w:hint="default"/>
      </w:rPr>
    </w:lvl>
    <w:lvl w:ilvl="4" w:tplc="04100003" w:tentative="1">
      <w:start w:val="1"/>
      <w:numFmt w:val="bullet"/>
      <w:lvlText w:val="o"/>
      <w:lvlJc w:val="left"/>
      <w:pPr>
        <w:ind w:left="3510" w:hanging="360"/>
      </w:pPr>
      <w:rPr>
        <w:rFonts w:ascii="Courier New" w:hAnsi="Courier New" w:cs="Courier New" w:hint="default"/>
      </w:rPr>
    </w:lvl>
    <w:lvl w:ilvl="5" w:tplc="04100005" w:tentative="1">
      <w:start w:val="1"/>
      <w:numFmt w:val="bullet"/>
      <w:lvlText w:val=""/>
      <w:lvlJc w:val="left"/>
      <w:pPr>
        <w:ind w:left="4230" w:hanging="360"/>
      </w:pPr>
      <w:rPr>
        <w:rFonts w:ascii="Wingdings" w:hAnsi="Wingdings" w:hint="default"/>
      </w:rPr>
    </w:lvl>
    <w:lvl w:ilvl="6" w:tplc="04100001" w:tentative="1">
      <w:start w:val="1"/>
      <w:numFmt w:val="bullet"/>
      <w:lvlText w:val=""/>
      <w:lvlJc w:val="left"/>
      <w:pPr>
        <w:ind w:left="4950" w:hanging="360"/>
      </w:pPr>
      <w:rPr>
        <w:rFonts w:ascii="Symbol" w:hAnsi="Symbol" w:hint="default"/>
      </w:rPr>
    </w:lvl>
    <w:lvl w:ilvl="7" w:tplc="04100003" w:tentative="1">
      <w:start w:val="1"/>
      <w:numFmt w:val="bullet"/>
      <w:lvlText w:val="o"/>
      <w:lvlJc w:val="left"/>
      <w:pPr>
        <w:ind w:left="5670" w:hanging="360"/>
      </w:pPr>
      <w:rPr>
        <w:rFonts w:ascii="Courier New" w:hAnsi="Courier New" w:cs="Courier New" w:hint="default"/>
      </w:rPr>
    </w:lvl>
    <w:lvl w:ilvl="8" w:tplc="04100005" w:tentative="1">
      <w:start w:val="1"/>
      <w:numFmt w:val="bullet"/>
      <w:lvlText w:val=""/>
      <w:lvlJc w:val="left"/>
      <w:pPr>
        <w:ind w:left="6390" w:hanging="360"/>
      </w:pPr>
      <w:rPr>
        <w:rFonts w:ascii="Wingdings" w:hAnsi="Wingdings" w:hint="default"/>
      </w:rPr>
    </w:lvl>
  </w:abstractNum>
  <w:abstractNum w:abstractNumId="4">
    <w:nsid w:val="5CD40D2E"/>
    <w:multiLevelType w:val="hybridMultilevel"/>
    <w:tmpl w:val="DEF84D04"/>
    <w:lvl w:ilvl="0" w:tplc="04A20B74">
      <w:start w:val="44"/>
      <w:numFmt w:val="bullet"/>
      <w:lvlText w:val=""/>
      <w:lvlJc w:val="left"/>
      <w:pPr>
        <w:ind w:left="630" w:hanging="360"/>
      </w:pPr>
      <w:rPr>
        <w:rFonts w:ascii="Symbol" w:eastAsiaTheme="minorHAnsi" w:hAnsi="Symbol" w:cstheme="minorBidi" w:hint="default"/>
      </w:rPr>
    </w:lvl>
    <w:lvl w:ilvl="1" w:tplc="04100003" w:tentative="1">
      <w:start w:val="1"/>
      <w:numFmt w:val="bullet"/>
      <w:lvlText w:val="o"/>
      <w:lvlJc w:val="left"/>
      <w:pPr>
        <w:ind w:left="1350" w:hanging="360"/>
      </w:pPr>
      <w:rPr>
        <w:rFonts w:ascii="Courier New" w:hAnsi="Courier New" w:cs="Courier New" w:hint="default"/>
      </w:rPr>
    </w:lvl>
    <w:lvl w:ilvl="2" w:tplc="04100005" w:tentative="1">
      <w:start w:val="1"/>
      <w:numFmt w:val="bullet"/>
      <w:lvlText w:val=""/>
      <w:lvlJc w:val="left"/>
      <w:pPr>
        <w:ind w:left="2070" w:hanging="360"/>
      </w:pPr>
      <w:rPr>
        <w:rFonts w:ascii="Wingdings" w:hAnsi="Wingdings" w:hint="default"/>
      </w:rPr>
    </w:lvl>
    <w:lvl w:ilvl="3" w:tplc="04100001" w:tentative="1">
      <w:start w:val="1"/>
      <w:numFmt w:val="bullet"/>
      <w:lvlText w:val=""/>
      <w:lvlJc w:val="left"/>
      <w:pPr>
        <w:ind w:left="2790" w:hanging="360"/>
      </w:pPr>
      <w:rPr>
        <w:rFonts w:ascii="Symbol" w:hAnsi="Symbol" w:hint="default"/>
      </w:rPr>
    </w:lvl>
    <w:lvl w:ilvl="4" w:tplc="04100003" w:tentative="1">
      <w:start w:val="1"/>
      <w:numFmt w:val="bullet"/>
      <w:lvlText w:val="o"/>
      <w:lvlJc w:val="left"/>
      <w:pPr>
        <w:ind w:left="3510" w:hanging="360"/>
      </w:pPr>
      <w:rPr>
        <w:rFonts w:ascii="Courier New" w:hAnsi="Courier New" w:cs="Courier New" w:hint="default"/>
      </w:rPr>
    </w:lvl>
    <w:lvl w:ilvl="5" w:tplc="04100005" w:tentative="1">
      <w:start w:val="1"/>
      <w:numFmt w:val="bullet"/>
      <w:lvlText w:val=""/>
      <w:lvlJc w:val="left"/>
      <w:pPr>
        <w:ind w:left="4230" w:hanging="360"/>
      </w:pPr>
      <w:rPr>
        <w:rFonts w:ascii="Wingdings" w:hAnsi="Wingdings" w:hint="default"/>
      </w:rPr>
    </w:lvl>
    <w:lvl w:ilvl="6" w:tplc="04100001" w:tentative="1">
      <w:start w:val="1"/>
      <w:numFmt w:val="bullet"/>
      <w:lvlText w:val=""/>
      <w:lvlJc w:val="left"/>
      <w:pPr>
        <w:ind w:left="4950" w:hanging="360"/>
      </w:pPr>
      <w:rPr>
        <w:rFonts w:ascii="Symbol" w:hAnsi="Symbol" w:hint="default"/>
      </w:rPr>
    </w:lvl>
    <w:lvl w:ilvl="7" w:tplc="04100003" w:tentative="1">
      <w:start w:val="1"/>
      <w:numFmt w:val="bullet"/>
      <w:lvlText w:val="o"/>
      <w:lvlJc w:val="left"/>
      <w:pPr>
        <w:ind w:left="5670" w:hanging="360"/>
      </w:pPr>
      <w:rPr>
        <w:rFonts w:ascii="Courier New" w:hAnsi="Courier New" w:cs="Courier New" w:hint="default"/>
      </w:rPr>
    </w:lvl>
    <w:lvl w:ilvl="8" w:tplc="04100005" w:tentative="1">
      <w:start w:val="1"/>
      <w:numFmt w:val="bullet"/>
      <w:lvlText w:val=""/>
      <w:lvlJc w:val="left"/>
      <w:pPr>
        <w:ind w:left="639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8E5"/>
    <w:rsid w:val="000A0882"/>
    <w:rsid w:val="001D70B1"/>
    <w:rsid w:val="00206C31"/>
    <w:rsid w:val="00305148"/>
    <w:rsid w:val="00373230"/>
    <w:rsid w:val="0038089F"/>
    <w:rsid w:val="003865D0"/>
    <w:rsid w:val="0046549D"/>
    <w:rsid w:val="005A5ADF"/>
    <w:rsid w:val="005D6C38"/>
    <w:rsid w:val="006E55D0"/>
    <w:rsid w:val="00811082"/>
    <w:rsid w:val="00834FF7"/>
    <w:rsid w:val="00842E9E"/>
    <w:rsid w:val="00882E96"/>
    <w:rsid w:val="008F048C"/>
    <w:rsid w:val="00923C5B"/>
    <w:rsid w:val="009D1FFB"/>
    <w:rsid w:val="009D6EAD"/>
    <w:rsid w:val="009F5E35"/>
    <w:rsid w:val="00A66D4F"/>
    <w:rsid w:val="00B15F3B"/>
    <w:rsid w:val="00B678E5"/>
    <w:rsid w:val="00BF4291"/>
    <w:rsid w:val="00CC1847"/>
    <w:rsid w:val="00D23016"/>
    <w:rsid w:val="00D64F68"/>
    <w:rsid w:val="00DC1538"/>
    <w:rsid w:val="00E248AD"/>
    <w:rsid w:val="00F7037B"/>
    <w:rsid w:val="00FD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D59BE"/>
  <w15:chartTrackingRefBased/>
  <w15:docId w15:val="{BD24F3ED-8F71-4FF2-BC1C-1CA1C23D2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678E5"/>
    <w:rPr>
      <w:color w:val="0563C1" w:themeColor="hyperlink"/>
      <w:u w:val="single"/>
    </w:rPr>
  </w:style>
  <w:style w:type="character" w:styleId="Rimandocommento">
    <w:name w:val="annotation reference"/>
    <w:basedOn w:val="Carpredefinitoparagrafo"/>
    <w:uiPriority w:val="99"/>
    <w:semiHidden/>
    <w:unhideWhenUsed/>
    <w:rsid w:val="00B678E5"/>
    <w:rPr>
      <w:sz w:val="16"/>
      <w:szCs w:val="16"/>
    </w:rPr>
  </w:style>
  <w:style w:type="paragraph" w:styleId="Testocommento">
    <w:name w:val="annotation text"/>
    <w:basedOn w:val="Normale"/>
    <w:link w:val="TestocommentoCarattere"/>
    <w:uiPriority w:val="99"/>
    <w:semiHidden/>
    <w:unhideWhenUsed/>
    <w:rsid w:val="00B678E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678E5"/>
    <w:rPr>
      <w:sz w:val="20"/>
      <w:szCs w:val="20"/>
    </w:rPr>
  </w:style>
  <w:style w:type="paragraph" w:styleId="Soggettocommento">
    <w:name w:val="annotation subject"/>
    <w:basedOn w:val="Testocommento"/>
    <w:next w:val="Testocommento"/>
    <w:link w:val="SoggettocommentoCarattere"/>
    <w:uiPriority w:val="99"/>
    <w:semiHidden/>
    <w:unhideWhenUsed/>
    <w:rsid w:val="00B678E5"/>
    <w:rPr>
      <w:b/>
      <w:bCs/>
    </w:rPr>
  </w:style>
  <w:style w:type="character" w:customStyle="1" w:styleId="SoggettocommentoCarattere">
    <w:name w:val="Soggetto commento Carattere"/>
    <w:basedOn w:val="TestocommentoCarattere"/>
    <w:link w:val="Soggettocommento"/>
    <w:uiPriority w:val="99"/>
    <w:semiHidden/>
    <w:rsid w:val="00B678E5"/>
    <w:rPr>
      <w:b/>
      <w:bCs/>
      <w:sz w:val="20"/>
      <w:szCs w:val="20"/>
    </w:rPr>
  </w:style>
  <w:style w:type="paragraph" w:styleId="Testofumetto">
    <w:name w:val="Balloon Text"/>
    <w:basedOn w:val="Normale"/>
    <w:link w:val="TestofumettoCarattere"/>
    <w:uiPriority w:val="99"/>
    <w:semiHidden/>
    <w:unhideWhenUsed/>
    <w:rsid w:val="00B678E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678E5"/>
    <w:rPr>
      <w:rFonts w:ascii="Segoe UI" w:hAnsi="Segoe UI" w:cs="Segoe UI"/>
      <w:sz w:val="18"/>
      <w:szCs w:val="18"/>
    </w:rPr>
  </w:style>
  <w:style w:type="paragraph" w:styleId="Paragrafoelenco">
    <w:name w:val="List Paragraph"/>
    <w:basedOn w:val="Normale"/>
    <w:uiPriority w:val="34"/>
    <w:qFormat/>
    <w:rsid w:val="00305148"/>
    <w:pPr>
      <w:ind w:left="720"/>
      <w:contextualSpacing/>
    </w:pPr>
  </w:style>
  <w:style w:type="paragraph" w:styleId="Intestazione">
    <w:name w:val="header"/>
    <w:basedOn w:val="Normale"/>
    <w:link w:val="IntestazioneCarattere"/>
    <w:uiPriority w:val="99"/>
    <w:unhideWhenUsed/>
    <w:rsid w:val="0038089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8089F"/>
  </w:style>
  <w:style w:type="paragraph" w:styleId="Pidipagina">
    <w:name w:val="footer"/>
    <w:basedOn w:val="Normale"/>
    <w:link w:val="PidipaginaCarattere"/>
    <w:uiPriority w:val="99"/>
    <w:unhideWhenUsed/>
    <w:rsid w:val="0038089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8089F"/>
  </w:style>
  <w:style w:type="paragraph" w:customStyle="1" w:styleId="Default">
    <w:name w:val="Default"/>
    <w:rsid w:val="00842E9E"/>
    <w:pPr>
      <w:autoSpaceDE w:val="0"/>
      <w:autoSpaceDN w:val="0"/>
      <w:adjustRightInd w:val="0"/>
      <w:spacing w:after="0" w:line="240" w:lineRule="auto"/>
    </w:pPr>
    <w:rPr>
      <w:rFonts w:ascii="Century Gothic" w:hAnsi="Century Gothic" w:cs="Century Gothic"/>
      <w:color w:val="000000"/>
      <w:sz w:val="24"/>
      <w:szCs w:val="24"/>
    </w:rPr>
  </w:style>
  <w:style w:type="paragraph" w:styleId="Testonotaapidipagina">
    <w:name w:val="footnote text"/>
    <w:aliases w:val="Footnote Text Char Char Char Char,Footnote Text Char Char Char Char Char Char Char Char Char Char,Footnote Text Char,Footnote Text Char Char Char Char Char Char Char Char Char Char Char Char Char Char Char Char Char Char Char"/>
    <w:basedOn w:val="Normale"/>
    <w:link w:val="TestonotaapidipaginaCarattere"/>
    <w:uiPriority w:val="99"/>
    <w:unhideWhenUsed/>
    <w:qFormat/>
    <w:rsid w:val="00A66D4F"/>
    <w:pPr>
      <w:spacing w:after="0" w:line="240" w:lineRule="auto"/>
    </w:pPr>
    <w:rPr>
      <w:rFonts w:ascii="Calibri" w:eastAsia="Calibri" w:hAnsi="Calibri" w:cs="Times New Roman"/>
      <w:sz w:val="20"/>
      <w:szCs w:val="20"/>
    </w:rPr>
  </w:style>
  <w:style w:type="character" w:customStyle="1" w:styleId="TestonotaapidipaginaCarattere">
    <w:name w:val="Testo nota a piè di pagina Carattere"/>
    <w:aliases w:val="Footnote Text Char Char Char Char Carattere,Footnote Text Char Char Char Char Char Char Char Char Char Char Carattere,Footnote Text Char Carattere"/>
    <w:basedOn w:val="Carpredefinitoparagrafo"/>
    <w:link w:val="Testonotaapidipagina"/>
    <w:uiPriority w:val="99"/>
    <w:rsid w:val="00A66D4F"/>
    <w:rPr>
      <w:rFonts w:ascii="Calibri" w:eastAsia="Calibri" w:hAnsi="Calibri" w:cs="Times New Roman"/>
      <w:sz w:val="20"/>
      <w:szCs w:val="20"/>
    </w:rPr>
  </w:style>
  <w:style w:type="character" w:styleId="Rimandonotaapidipagina">
    <w:name w:val="footnote reference"/>
    <w:aliases w:val="Footnote Reference Arial,titre, titre,Note de bas de p.,BVI fnr,Footnote symbol,Footnotes refss,Footnote Reference Arial1,Footnote Reference Arial2,Footnote Reference Arial11,Footnote Reference Arial3,SUPERS,stylish,E FNZ,Re"/>
    <w:basedOn w:val="Carpredefinitoparagrafo"/>
    <w:link w:val="FootnoteReferenceArialChar3CharChar"/>
    <w:uiPriority w:val="99"/>
    <w:unhideWhenUsed/>
    <w:qFormat/>
    <w:rsid w:val="00A66D4F"/>
    <w:rPr>
      <w:vertAlign w:val="superscript"/>
    </w:rPr>
  </w:style>
  <w:style w:type="paragraph" w:customStyle="1" w:styleId="FootnoteReferenceArialChar3CharChar">
    <w:name w:val="Footnote Reference Arial Char3 Char Char"/>
    <w:aliases w:val="Footnote Reference Arial1 Char3 Char Char,Footnote Reference Arial2 Char3 Char Char,Footnote Reference Arial11 Char3 Char Char,Footnote Reference Arial3 Char3 Char Char, Char Char8,Char Char8"/>
    <w:basedOn w:val="Normale"/>
    <w:next w:val="Normale"/>
    <w:link w:val="Rimandonotaapidipagina"/>
    <w:uiPriority w:val="99"/>
    <w:qFormat/>
    <w:rsid w:val="00A66D4F"/>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379347">
      <w:bodyDiv w:val="1"/>
      <w:marLeft w:val="0"/>
      <w:marRight w:val="0"/>
      <w:marTop w:val="0"/>
      <w:marBottom w:val="0"/>
      <w:divBdr>
        <w:top w:val="none" w:sz="0" w:space="0" w:color="auto"/>
        <w:left w:val="none" w:sz="0" w:space="0" w:color="auto"/>
        <w:bottom w:val="none" w:sz="0" w:space="0" w:color="auto"/>
        <w:right w:val="none" w:sz="0" w:space="0" w:color="auto"/>
      </w:divBdr>
      <w:divsChild>
        <w:div w:id="1858347184">
          <w:marLeft w:val="0"/>
          <w:marRight w:val="0"/>
          <w:marTop w:val="0"/>
          <w:marBottom w:val="0"/>
          <w:divBdr>
            <w:top w:val="none" w:sz="0" w:space="0" w:color="auto"/>
            <w:left w:val="none" w:sz="0" w:space="0" w:color="auto"/>
            <w:bottom w:val="none" w:sz="0" w:space="0" w:color="auto"/>
            <w:right w:val="none" w:sz="0" w:space="0" w:color="auto"/>
          </w:divBdr>
          <w:divsChild>
            <w:div w:id="2078700408">
              <w:marLeft w:val="0"/>
              <w:marRight w:val="0"/>
              <w:marTop w:val="0"/>
              <w:marBottom w:val="0"/>
              <w:divBdr>
                <w:top w:val="none" w:sz="0" w:space="0" w:color="auto"/>
                <w:left w:val="none" w:sz="0" w:space="0" w:color="auto"/>
                <w:bottom w:val="none" w:sz="0" w:space="0" w:color="auto"/>
                <w:right w:val="none" w:sz="0" w:space="0" w:color="auto"/>
              </w:divBdr>
              <w:divsChild>
                <w:div w:id="8832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19602">
      <w:bodyDiv w:val="1"/>
      <w:marLeft w:val="0"/>
      <w:marRight w:val="0"/>
      <w:marTop w:val="0"/>
      <w:marBottom w:val="0"/>
      <w:divBdr>
        <w:top w:val="none" w:sz="0" w:space="0" w:color="auto"/>
        <w:left w:val="none" w:sz="0" w:space="0" w:color="auto"/>
        <w:bottom w:val="none" w:sz="0" w:space="0" w:color="auto"/>
        <w:right w:val="none" w:sz="0" w:space="0" w:color="auto"/>
      </w:divBdr>
      <w:divsChild>
        <w:div w:id="2118332475">
          <w:marLeft w:val="0"/>
          <w:marRight w:val="0"/>
          <w:marTop w:val="0"/>
          <w:marBottom w:val="0"/>
          <w:divBdr>
            <w:top w:val="none" w:sz="0" w:space="0" w:color="auto"/>
            <w:left w:val="none" w:sz="0" w:space="0" w:color="auto"/>
            <w:bottom w:val="none" w:sz="0" w:space="0" w:color="auto"/>
            <w:right w:val="none" w:sz="0" w:space="0" w:color="auto"/>
          </w:divBdr>
          <w:divsChild>
            <w:div w:id="2102800787">
              <w:marLeft w:val="0"/>
              <w:marRight w:val="0"/>
              <w:marTop w:val="0"/>
              <w:marBottom w:val="0"/>
              <w:divBdr>
                <w:top w:val="none" w:sz="0" w:space="0" w:color="auto"/>
                <w:left w:val="none" w:sz="0" w:space="0" w:color="auto"/>
                <w:bottom w:val="none" w:sz="0" w:space="0" w:color="auto"/>
                <w:right w:val="none" w:sz="0" w:space="0" w:color="auto"/>
              </w:divBdr>
              <w:divsChild>
                <w:div w:id="108063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1021</Words>
  <Characters>5822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CII</Company>
  <LinksUpToDate>false</LinksUpToDate>
  <CharactersWithSpaces>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SINAPSI/CII Alessi, Francesco (E.I.) 1° M.llo</dc:creator>
  <cp:keywords/>
  <dc:description/>
  <cp:lastModifiedBy>SINAPSI/CII Bettinotti, Alberto (E.I.) Magg.</cp:lastModifiedBy>
  <cp:revision>7</cp:revision>
  <dcterms:created xsi:type="dcterms:W3CDTF">2023-05-05T14:01:00Z</dcterms:created>
  <dcterms:modified xsi:type="dcterms:W3CDTF">2023-05-05T14:44:00Z</dcterms:modified>
</cp:coreProperties>
</file>