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36830" w14:textId="77777777" w:rsidR="00A14DBF" w:rsidRPr="00A51983" w:rsidRDefault="00A14DBF" w:rsidP="00A14DBF">
      <w:pPr>
        <w:pStyle w:val="INTESTMAIUSC"/>
        <w:spacing w:after="0" w:line="240" w:lineRule="auto"/>
        <w:ind w:left="142"/>
        <w:contextualSpacing/>
        <w:jc w:val="both"/>
        <w:rPr>
          <w:rFonts w:ascii="Times New Roman" w:hAnsi="Times New Roman" w:cs="Times New Roman"/>
          <w:b w:val="0"/>
          <w:caps w:val="0"/>
          <w:sz w:val="24"/>
          <w:szCs w:val="24"/>
        </w:rPr>
      </w:pPr>
      <w:r>
        <w:rPr>
          <w:rFonts w:ascii="Times New Roman" w:hAnsi="Times New Roman" w:cs="Times New Roman"/>
          <w:bCs/>
          <w:caps w:val="0"/>
          <w:sz w:val="24"/>
          <w:szCs w:val="24"/>
          <w:u w:val="single"/>
        </w:rPr>
        <w:t>Inquadramento generale</w:t>
      </w:r>
    </w:p>
    <w:p w14:paraId="1350CEC9" w14:textId="77777777" w:rsidR="00A14DBF" w:rsidRPr="000C5BFA" w:rsidRDefault="00A14DBF" w:rsidP="00A14DBF">
      <w:pPr>
        <w:pStyle w:val="INTESTMAIUSC"/>
        <w:spacing w:after="0" w:line="240" w:lineRule="auto"/>
        <w:ind w:left="142"/>
        <w:contextualSpacing/>
        <w:jc w:val="both"/>
        <w:rPr>
          <w:rFonts w:ascii="Times New Roman" w:hAnsi="Times New Roman" w:cs="Times New Roman"/>
          <w:b w:val="0"/>
          <w:caps w:val="0"/>
          <w:sz w:val="24"/>
          <w:szCs w:val="24"/>
        </w:rPr>
      </w:pPr>
      <w:r w:rsidRPr="000C5BFA">
        <w:rPr>
          <w:rFonts w:ascii="Times New Roman" w:hAnsi="Times New Roman" w:cs="Times New Roman"/>
          <w:b w:val="0"/>
          <w:caps w:val="0"/>
          <w:sz w:val="24"/>
          <w:szCs w:val="24"/>
        </w:rPr>
        <w:t xml:space="preserve">La LIBIA, nel primo periodo </w:t>
      </w:r>
      <w:r w:rsidRPr="00B50801">
        <w:rPr>
          <w:rFonts w:ascii="Times New Roman" w:hAnsi="Times New Roman" w:cs="Times New Roman"/>
          <w:b w:val="0"/>
          <w:i/>
          <w:iCs/>
          <w:caps w:val="0"/>
          <w:sz w:val="24"/>
          <w:szCs w:val="24"/>
        </w:rPr>
        <w:t>post</w:t>
      </w:r>
      <w:r w:rsidRPr="000C5BFA">
        <w:rPr>
          <w:rFonts w:ascii="Times New Roman" w:hAnsi="Times New Roman" w:cs="Times New Roman"/>
          <w:b w:val="0"/>
          <w:caps w:val="0"/>
          <w:sz w:val="24"/>
          <w:szCs w:val="24"/>
        </w:rPr>
        <w:t xml:space="preserve">-rivoluzionario, priva di Istituzioni in grado di esercitare l’autorità politica su tutto il territorio e con l’ausilio delle NAZIONI UNITE (NU), si è adoperata per cercare una mediazione tra </w:t>
      </w:r>
      <w:r w:rsidRPr="00B50801">
        <w:rPr>
          <w:rFonts w:ascii="Times New Roman" w:hAnsi="Times New Roman" w:cs="Times New Roman"/>
          <w:b w:val="0"/>
          <w:i/>
          <w:iCs/>
          <w:caps w:val="0"/>
          <w:sz w:val="24"/>
          <w:szCs w:val="24"/>
        </w:rPr>
        <w:t>Ovest</w:t>
      </w:r>
      <w:r w:rsidRPr="000C5BFA">
        <w:rPr>
          <w:rFonts w:ascii="Times New Roman" w:hAnsi="Times New Roman" w:cs="Times New Roman"/>
          <w:b w:val="0"/>
          <w:caps w:val="0"/>
          <w:sz w:val="24"/>
          <w:szCs w:val="24"/>
        </w:rPr>
        <w:t xml:space="preserve"> ed </w:t>
      </w:r>
      <w:r w:rsidRPr="00B50801">
        <w:rPr>
          <w:rFonts w:ascii="Times New Roman" w:hAnsi="Times New Roman" w:cs="Times New Roman"/>
          <w:b w:val="0"/>
          <w:i/>
          <w:iCs/>
          <w:caps w:val="0"/>
          <w:sz w:val="24"/>
          <w:szCs w:val="24"/>
        </w:rPr>
        <w:t>Est</w:t>
      </w:r>
      <w:r w:rsidRPr="000C5BFA">
        <w:rPr>
          <w:rFonts w:ascii="Times New Roman" w:hAnsi="Times New Roman" w:cs="Times New Roman"/>
          <w:b w:val="0"/>
          <w:caps w:val="0"/>
          <w:sz w:val="24"/>
          <w:szCs w:val="24"/>
        </w:rPr>
        <w:t xml:space="preserve"> che potesse consentire il superamento della crisi politica. Tuttavia, le divergenti agende degli </w:t>
      </w:r>
      <w:r w:rsidRPr="00390D4B">
        <w:rPr>
          <w:rFonts w:ascii="Times New Roman" w:hAnsi="Times New Roman" w:cs="Times New Roman"/>
          <w:b w:val="0"/>
          <w:i/>
          <w:iCs/>
          <w:caps w:val="0"/>
          <w:sz w:val="24"/>
          <w:szCs w:val="24"/>
        </w:rPr>
        <w:t>stakeholder</w:t>
      </w:r>
      <w:r w:rsidRPr="000C5BFA">
        <w:rPr>
          <w:rFonts w:ascii="Times New Roman" w:hAnsi="Times New Roman" w:cs="Times New Roman"/>
          <w:b w:val="0"/>
          <w:caps w:val="0"/>
          <w:sz w:val="24"/>
          <w:szCs w:val="24"/>
        </w:rPr>
        <w:t xml:space="preserve"> interni (ed esteri) non hanno permesso una normalizzazione politica del Paese.</w:t>
      </w:r>
    </w:p>
    <w:p w14:paraId="1E19A43A" w14:textId="77777777" w:rsidR="00A14DBF" w:rsidRPr="000C5BFA" w:rsidRDefault="00A14DBF" w:rsidP="00A14DBF">
      <w:pPr>
        <w:pStyle w:val="INTESTMAIUSC"/>
        <w:spacing w:after="0" w:line="240" w:lineRule="auto"/>
        <w:ind w:left="142"/>
        <w:contextualSpacing/>
        <w:jc w:val="both"/>
        <w:rPr>
          <w:rFonts w:ascii="Times New Roman" w:hAnsi="Times New Roman" w:cs="Times New Roman"/>
          <w:b w:val="0"/>
          <w:caps w:val="0"/>
          <w:sz w:val="24"/>
          <w:szCs w:val="24"/>
        </w:rPr>
      </w:pPr>
      <w:r w:rsidRPr="000C5BFA">
        <w:rPr>
          <w:rFonts w:ascii="Times New Roman" w:hAnsi="Times New Roman" w:cs="Times New Roman"/>
          <w:b w:val="0"/>
          <w:caps w:val="0"/>
          <w:sz w:val="24"/>
          <w:szCs w:val="24"/>
        </w:rPr>
        <w:t xml:space="preserve">A seguito dell’indeterminatezza della situazione politica e securitaria, ad aprile 2019, HAFTAR ha avviato, grazie al supporto di alcuni </w:t>
      </w:r>
      <w:r w:rsidRPr="00390D4B">
        <w:rPr>
          <w:rFonts w:ascii="Times New Roman" w:hAnsi="Times New Roman" w:cs="Times New Roman"/>
          <w:b w:val="0"/>
          <w:i/>
          <w:iCs/>
          <w:caps w:val="0"/>
          <w:sz w:val="24"/>
          <w:szCs w:val="24"/>
        </w:rPr>
        <w:t>stakeholder</w:t>
      </w:r>
      <w:r w:rsidRPr="000C5BFA">
        <w:rPr>
          <w:rFonts w:ascii="Times New Roman" w:hAnsi="Times New Roman" w:cs="Times New Roman"/>
          <w:b w:val="0"/>
          <w:caps w:val="0"/>
          <w:sz w:val="24"/>
          <w:szCs w:val="24"/>
        </w:rPr>
        <w:t xml:space="preserve"> esteri, un’offensiva finalizzata ad assumere con la forza il potere anche nell’</w:t>
      </w:r>
      <w:r w:rsidRPr="006F1A99">
        <w:rPr>
          <w:rFonts w:ascii="Times New Roman" w:hAnsi="Times New Roman" w:cs="Times New Roman"/>
          <w:b w:val="0"/>
          <w:i/>
          <w:iCs/>
          <w:caps w:val="0"/>
          <w:sz w:val="24"/>
          <w:szCs w:val="24"/>
        </w:rPr>
        <w:t>Ovest</w:t>
      </w:r>
      <w:r w:rsidRPr="000C5BFA">
        <w:rPr>
          <w:rFonts w:ascii="Times New Roman" w:hAnsi="Times New Roman" w:cs="Times New Roman"/>
          <w:b w:val="0"/>
          <w:caps w:val="0"/>
          <w:sz w:val="24"/>
          <w:szCs w:val="24"/>
        </w:rPr>
        <w:t xml:space="preserve"> del Paese. Di contro, il sostegno del fronte internazionale vicino alla Fratellanza Musulmana si è rivelato determinante per le forze di AL SERRAJ per respingere gli assedianti. A partire dalla prima decade di giugno 2020, il conflitto è entrato in una fase di stallo operativo, delineando aree d’influenza tutt’ora vigenti. </w:t>
      </w:r>
    </w:p>
    <w:p w14:paraId="58BE092E" w14:textId="77777777" w:rsidR="00A14DBF" w:rsidRPr="000C5BFA" w:rsidRDefault="00A14DBF" w:rsidP="00A14DBF">
      <w:pPr>
        <w:pStyle w:val="INTESTMAIUSC"/>
        <w:spacing w:after="0" w:line="240" w:lineRule="auto"/>
        <w:ind w:left="142"/>
        <w:contextualSpacing/>
        <w:jc w:val="both"/>
        <w:rPr>
          <w:rFonts w:ascii="Times New Roman" w:hAnsi="Times New Roman" w:cs="Times New Roman"/>
          <w:b w:val="0"/>
          <w:caps w:val="0"/>
          <w:sz w:val="24"/>
          <w:szCs w:val="24"/>
        </w:rPr>
      </w:pPr>
      <w:r w:rsidRPr="000C5BFA">
        <w:rPr>
          <w:rFonts w:ascii="Times New Roman" w:hAnsi="Times New Roman" w:cs="Times New Roman"/>
          <w:b w:val="0"/>
          <w:caps w:val="0"/>
          <w:sz w:val="24"/>
          <w:szCs w:val="24"/>
        </w:rPr>
        <w:t>Dopo circa 18 mesi di ostilità, il 23 ottobre 2020, grazie alla mediazione delle NU, si è giunti alla firma di un cessate il fuoco (ancora valido) che ha consentito una ripresa delle consultazioni politiche mirate a rinnovare le Istituzioni e traghettare il Paese verso lo svolgimento di elezioni democratiche (da quel momento, però, mai svolte).</w:t>
      </w:r>
    </w:p>
    <w:p w14:paraId="0D7307D3" w14:textId="77777777" w:rsidR="00A14DBF" w:rsidRPr="000C5BFA" w:rsidRDefault="00A14DBF" w:rsidP="00A14DBF">
      <w:pPr>
        <w:pStyle w:val="INTESTMAIUSC"/>
        <w:spacing w:after="0" w:line="240" w:lineRule="auto"/>
        <w:ind w:left="142"/>
        <w:contextualSpacing/>
        <w:jc w:val="both"/>
        <w:rPr>
          <w:rFonts w:ascii="Times New Roman" w:hAnsi="Times New Roman" w:cs="Times New Roman"/>
          <w:b w:val="0"/>
          <w:caps w:val="0"/>
          <w:sz w:val="24"/>
          <w:szCs w:val="24"/>
        </w:rPr>
      </w:pPr>
      <w:r w:rsidRPr="000C5BFA">
        <w:rPr>
          <w:rFonts w:ascii="Times New Roman" w:hAnsi="Times New Roman" w:cs="Times New Roman"/>
          <w:b w:val="0"/>
          <w:caps w:val="0"/>
          <w:sz w:val="24"/>
          <w:szCs w:val="24"/>
        </w:rPr>
        <w:t xml:space="preserve">L’incerta situazione politica libica è dovuta alla presenza di due esecutivi contrapposti: quello che fa capo a </w:t>
      </w:r>
      <w:proofErr w:type="spellStart"/>
      <w:r w:rsidRPr="000C5BFA">
        <w:rPr>
          <w:rFonts w:ascii="Times New Roman" w:hAnsi="Times New Roman" w:cs="Times New Roman"/>
          <w:b w:val="0"/>
          <w:caps w:val="0"/>
          <w:sz w:val="24"/>
          <w:szCs w:val="24"/>
        </w:rPr>
        <w:t>Abdulahamid</w:t>
      </w:r>
      <w:proofErr w:type="spellEnd"/>
      <w:r w:rsidRPr="000C5BFA">
        <w:rPr>
          <w:rFonts w:ascii="Times New Roman" w:hAnsi="Times New Roman" w:cs="Times New Roman"/>
          <w:b w:val="0"/>
          <w:caps w:val="0"/>
          <w:sz w:val="24"/>
          <w:szCs w:val="24"/>
        </w:rPr>
        <w:t xml:space="preserve"> DBEIBAH, Primo Ministro del Governo di Unità Nazionale (GUN) con sede a TRIPOLI, e quello presieduto da Fathi BISHAGHA, Primo Ministro del Governo di Stabilità Nazionale, con sede a BENGHASI. Nel corso del 2022, BISHAGHA ha tentato, senza successo, tre volte di insediarsi con la forza a TRIPOLI (marzo, maggio e agosto). </w:t>
      </w:r>
    </w:p>
    <w:p w14:paraId="10FFE287" w14:textId="77777777" w:rsidR="00A14DBF" w:rsidRPr="000C5BFA" w:rsidRDefault="00A14DBF" w:rsidP="00A14DBF">
      <w:pPr>
        <w:pStyle w:val="INTESTMAIUSC"/>
        <w:spacing w:after="0" w:line="240" w:lineRule="auto"/>
        <w:ind w:left="142"/>
        <w:contextualSpacing/>
        <w:jc w:val="both"/>
        <w:rPr>
          <w:rFonts w:ascii="Times New Roman" w:hAnsi="Times New Roman" w:cs="Times New Roman"/>
          <w:b w:val="0"/>
          <w:caps w:val="0"/>
          <w:sz w:val="24"/>
          <w:szCs w:val="24"/>
        </w:rPr>
      </w:pPr>
      <w:r w:rsidRPr="000C5BFA">
        <w:rPr>
          <w:rFonts w:ascii="Times New Roman" w:hAnsi="Times New Roman" w:cs="Times New Roman"/>
          <w:b w:val="0"/>
          <w:caps w:val="0"/>
          <w:sz w:val="24"/>
          <w:szCs w:val="24"/>
        </w:rPr>
        <w:t xml:space="preserve">In TRIPOLITANIA l’attività condotta dalle diverse milizie presenti sul terreno continua a ingenerare incertezza e instabilità a livello locale. Recentemente (febbraio – aprile 2023) l’area di ZAWIYA (40 km ad </w:t>
      </w:r>
      <w:r w:rsidRPr="00637980">
        <w:rPr>
          <w:rFonts w:ascii="Times New Roman" w:hAnsi="Times New Roman" w:cs="Times New Roman"/>
          <w:b w:val="0"/>
          <w:i/>
          <w:iCs/>
          <w:caps w:val="0"/>
          <w:sz w:val="24"/>
          <w:szCs w:val="24"/>
        </w:rPr>
        <w:t>ovest</w:t>
      </w:r>
      <w:r w:rsidRPr="000C5BFA">
        <w:rPr>
          <w:rFonts w:ascii="Times New Roman" w:hAnsi="Times New Roman" w:cs="Times New Roman"/>
          <w:b w:val="0"/>
          <w:caps w:val="0"/>
          <w:sz w:val="24"/>
          <w:szCs w:val="24"/>
        </w:rPr>
        <w:t xml:space="preserve"> di TRIPOLI) è stata spesso teatro di tensioni</w:t>
      </w:r>
      <w:r w:rsidRPr="00637980">
        <w:rPr>
          <w:rFonts w:ascii="Times New Roman" w:hAnsi="Times New Roman" w:cs="Times New Roman"/>
          <w:b w:val="0"/>
          <w:i/>
          <w:iCs/>
          <w:caps w:val="0"/>
          <w:sz w:val="24"/>
          <w:szCs w:val="24"/>
        </w:rPr>
        <w:t xml:space="preserve"> inter</w:t>
      </w:r>
      <w:r w:rsidRPr="000C5BFA">
        <w:rPr>
          <w:rFonts w:ascii="Times New Roman" w:hAnsi="Times New Roman" w:cs="Times New Roman"/>
          <w:b w:val="0"/>
          <w:caps w:val="0"/>
          <w:sz w:val="24"/>
          <w:szCs w:val="24"/>
        </w:rPr>
        <w:t xml:space="preserve">-miliziane, che hanno causato alcuni morti e feriti. </w:t>
      </w:r>
    </w:p>
    <w:p w14:paraId="43A20359" w14:textId="77777777" w:rsidR="00A14DBF" w:rsidRPr="000C5BFA" w:rsidRDefault="00A14DBF" w:rsidP="00A14DBF">
      <w:pPr>
        <w:pStyle w:val="INTESTMAIUSC"/>
        <w:spacing w:after="0" w:line="240" w:lineRule="auto"/>
        <w:ind w:left="142"/>
        <w:contextualSpacing/>
        <w:jc w:val="both"/>
        <w:rPr>
          <w:rFonts w:ascii="Times New Roman" w:hAnsi="Times New Roman" w:cs="Times New Roman"/>
          <w:b w:val="0"/>
          <w:caps w:val="0"/>
          <w:sz w:val="24"/>
          <w:szCs w:val="24"/>
        </w:rPr>
      </w:pPr>
      <w:r w:rsidRPr="000C5BFA">
        <w:rPr>
          <w:rFonts w:ascii="Times New Roman" w:hAnsi="Times New Roman" w:cs="Times New Roman"/>
          <w:b w:val="0"/>
          <w:caps w:val="0"/>
          <w:sz w:val="24"/>
          <w:szCs w:val="24"/>
        </w:rPr>
        <w:t xml:space="preserve">A complicare i già fragili equilibri del Paese, soprattutto nella Regione del FEZZAN, ha contribuito la presenza di gruppi criminali, mercenari stranieri e di elementi affiliati a </w:t>
      </w:r>
      <w:proofErr w:type="spellStart"/>
      <w:r w:rsidRPr="00390D4B">
        <w:rPr>
          <w:rFonts w:ascii="Times New Roman" w:hAnsi="Times New Roman" w:cs="Times New Roman"/>
          <w:b w:val="0"/>
          <w:i/>
          <w:iCs/>
          <w:caps w:val="0"/>
          <w:sz w:val="24"/>
          <w:szCs w:val="24"/>
        </w:rPr>
        <w:t>Violent</w:t>
      </w:r>
      <w:proofErr w:type="spellEnd"/>
      <w:r w:rsidRPr="00390D4B">
        <w:rPr>
          <w:rFonts w:ascii="Times New Roman" w:hAnsi="Times New Roman" w:cs="Times New Roman"/>
          <w:b w:val="0"/>
          <w:i/>
          <w:iCs/>
          <w:caps w:val="0"/>
          <w:sz w:val="24"/>
          <w:szCs w:val="24"/>
        </w:rPr>
        <w:t xml:space="preserve"> </w:t>
      </w:r>
      <w:proofErr w:type="spellStart"/>
      <w:r w:rsidRPr="00390D4B">
        <w:rPr>
          <w:rFonts w:ascii="Times New Roman" w:hAnsi="Times New Roman" w:cs="Times New Roman"/>
          <w:b w:val="0"/>
          <w:i/>
          <w:iCs/>
          <w:caps w:val="0"/>
          <w:sz w:val="24"/>
          <w:szCs w:val="24"/>
        </w:rPr>
        <w:t>Extremist</w:t>
      </w:r>
      <w:proofErr w:type="spellEnd"/>
      <w:r w:rsidRPr="00390D4B">
        <w:rPr>
          <w:rFonts w:ascii="Times New Roman" w:hAnsi="Times New Roman" w:cs="Times New Roman"/>
          <w:b w:val="0"/>
          <w:i/>
          <w:iCs/>
          <w:caps w:val="0"/>
          <w:sz w:val="24"/>
          <w:szCs w:val="24"/>
        </w:rPr>
        <w:t xml:space="preserve"> </w:t>
      </w:r>
      <w:proofErr w:type="spellStart"/>
      <w:r w:rsidRPr="00390D4B">
        <w:rPr>
          <w:rFonts w:ascii="Times New Roman" w:hAnsi="Times New Roman" w:cs="Times New Roman"/>
          <w:b w:val="0"/>
          <w:i/>
          <w:iCs/>
          <w:caps w:val="0"/>
          <w:sz w:val="24"/>
          <w:szCs w:val="24"/>
        </w:rPr>
        <w:t>Organizations</w:t>
      </w:r>
      <w:proofErr w:type="spellEnd"/>
      <w:r w:rsidRPr="00390D4B">
        <w:rPr>
          <w:rFonts w:ascii="Times New Roman" w:hAnsi="Times New Roman" w:cs="Times New Roman"/>
          <w:b w:val="0"/>
          <w:caps w:val="0"/>
          <w:sz w:val="24"/>
          <w:szCs w:val="24"/>
        </w:rPr>
        <w:t xml:space="preserve"> </w:t>
      </w:r>
      <w:r>
        <w:rPr>
          <w:rFonts w:ascii="Times New Roman" w:hAnsi="Times New Roman" w:cs="Times New Roman"/>
          <w:b w:val="0"/>
          <w:caps w:val="0"/>
          <w:sz w:val="24"/>
          <w:szCs w:val="24"/>
        </w:rPr>
        <w:t>(VEO)</w:t>
      </w:r>
      <w:r w:rsidRPr="000C5BFA">
        <w:rPr>
          <w:rFonts w:ascii="Times New Roman" w:hAnsi="Times New Roman" w:cs="Times New Roman"/>
          <w:b w:val="0"/>
          <w:caps w:val="0"/>
          <w:sz w:val="24"/>
          <w:szCs w:val="24"/>
        </w:rPr>
        <w:t>. La prolungata assenza del controllo statuale su gran parte del sud, infatti, ha:</w:t>
      </w:r>
    </w:p>
    <w:p w14:paraId="396750EA" w14:textId="77777777" w:rsidR="00A14DBF" w:rsidRPr="000C5BFA" w:rsidRDefault="00A14DBF" w:rsidP="00A14DBF">
      <w:pPr>
        <w:pStyle w:val="INTESTMAIUSC"/>
        <w:numPr>
          <w:ilvl w:val="0"/>
          <w:numId w:val="1"/>
        </w:numPr>
        <w:spacing w:after="0" w:line="240" w:lineRule="auto"/>
        <w:ind w:left="567" w:hanging="425"/>
        <w:contextualSpacing/>
        <w:jc w:val="both"/>
        <w:rPr>
          <w:rFonts w:ascii="Times New Roman" w:hAnsi="Times New Roman" w:cs="Times New Roman"/>
          <w:b w:val="0"/>
          <w:caps w:val="0"/>
          <w:sz w:val="24"/>
          <w:szCs w:val="24"/>
        </w:rPr>
      </w:pPr>
      <w:r w:rsidRPr="000C5BFA">
        <w:rPr>
          <w:rFonts w:ascii="Times New Roman" w:hAnsi="Times New Roman" w:cs="Times New Roman"/>
          <w:b w:val="0"/>
          <w:caps w:val="0"/>
          <w:sz w:val="24"/>
          <w:szCs w:val="24"/>
        </w:rPr>
        <w:t>favorito il susseguirsi di contrapposizioni tra i gruppi tribali, che gestiscono il territorio secondo dinamiche “feudali” (suddivisione in aree d’influenza);</w:t>
      </w:r>
    </w:p>
    <w:p w14:paraId="4B97E3D8" w14:textId="77777777" w:rsidR="00A14DBF" w:rsidRPr="000C5BFA" w:rsidRDefault="00A14DBF" w:rsidP="00A14DBF">
      <w:pPr>
        <w:pStyle w:val="INTESTMAIUSC"/>
        <w:numPr>
          <w:ilvl w:val="0"/>
          <w:numId w:val="1"/>
        </w:numPr>
        <w:spacing w:after="0" w:line="240" w:lineRule="auto"/>
        <w:ind w:left="567" w:hanging="425"/>
        <w:contextualSpacing/>
        <w:jc w:val="both"/>
        <w:rPr>
          <w:rFonts w:ascii="Times New Roman" w:hAnsi="Times New Roman" w:cs="Times New Roman"/>
          <w:b w:val="0"/>
          <w:caps w:val="0"/>
          <w:sz w:val="24"/>
          <w:szCs w:val="24"/>
        </w:rPr>
      </w:pPr>
      <w:r w:rsidRPr="000C5BFA">
        <w:rPr>
          <w:rFonts w:ascii="Times New Roman" w:hAnsi="Times New Roman" w:cs="Times New Roman"/>
          <w:b w:val="0"/>
          <w:caps w:val="0"/>
          <w:sz w:val="24"/>
          <w:szCs w:val="24"/>
        </w:rPr>
        <w:t>reso il territorio libico permeabile all’instabilità derivante dallo sviluppo di traffici transnazionali di varia natura, provenienti dalle aree interne del Continente africano.</w:t>
      </w:r>
    </w:p>
    <w:p w14:paraId="1D0CB036" w14:textId="77777777" w:rsidR="00A14DBF" w:rsidRPr="000C5BFA" w:rsidRDefault="00A14DBF" w:rsidP="00A14DBF">
      <w:pPr>
        <w:pStyle w:val="INTESTMAIUSC"/>
        <w:spacing w:after="0" w:line="240" w:lineRule="auto"/>
        <w:ind w:left="142"/>
        <w:contextualSpacing/>
        <w:jc w:val="both"/>
        <w:rPr>
          <w:rFonts w:ascii="Times New Roman" w:hAnsi="Times New Roman" w:cs="Times New Roman"/>
          <w:b w:val="0"/>
          <w:caps w:val="0"/>
          <w:sz w:val="24"/>
          <w:szCs w:val="24"/>
        </w:rPr>
      </w:pPr>
      <w:r w:rsidRPr="000C5BFA">
        <w:rPr>
          <w:rFonts w:ascii="Times New Roman" w:hAnsi="Times New Roman" w:cs="Times New Roman"/>
          <w:b w:val="0"/>
          <w:caps w:val="0"/>
          <w:sz w:val="24"/>
          <w:szCs w:val="24"/>
        </w:rPr>
        <w:t>In TRIPOLITANIA, gli ultimi eventi ad alto impatto mediatico riconducibili alle VEO risalgono al 2018, mentre in FEZZAN, attacchi di minore entità si sono verificati fino al 2022.</w:t>
      </w:r>
    </w:p>
    <w:p w14:paraId="0AD0B9D3" w14:textId="77777777" w:rsidR="00A14DBF" w:rsidRDefault="00A14DBF" w:rsidP="00A14DBF">
      <w:pPr>
        <w:pStyle w:val="INTESTMAIUSC"/>
        <w:spacing w:after="0" w:line="240" w:lineRule="auto"/>
        <w:ind w:left="142"/>
        <w:contextualSpacing/>
        <w:jc w:val="both"/>
        <w:rPr>
          <w:rFonts w:ascii="Times New Roman" w:hAnsi="Times New Roman" w:cs="Times New Roman"/>
          <w:b w:val="0"/>
          <w:caps w:val="0"/>
          <w:sz w:val="24"/>
          <w:szCs w:val="24"/>
        </w:rPr>
      </w:pPr>
      <w:r w:rsidRPr="000C5BFA">
        <w:rPr>
          <w:rFonts w:ascii="Times New Roman" w:hAnsi="Times New Roman" w:cs="Times New Roman"/>
          <w:b w:val="0"/>
          <w:caps w:val="0"/>
          <w:sz w:val="24"/>
          <w:szCs w:val="24"/>
        </w:rPr>
        <w:t xml:space="preserve">Nel merito, negli ultimi anni, più volte le Autorità di TRIPOLI e della CIRENAICA hanno annunciato di voler avviare operazioni militari finalizzate a ripristinare una cornice di sicurezza adeguata. Tuttavia, tali propositi hanno avuto esclusivamente rilevanza mediatica, senza trovare riscontro in attività militari che abbiano realmente modificato le dinamiche dell’area. </w:t>
      </w:r>
    </w:p>
    <w:p w14:paraId="04757B98" w14:textId="77777777" w:rsidR="00A14DBF" w:rsidRPr="000C5BFA" w:rsidRDefault="00A14DBF" w:rsidP="00A14DBF">
      <w:pPr>
        <w:pStyle w:val="INTESTMAIUSC"/>
        <w:spacing w:after="0" w:line="240" w:lineRule="auto"/>
        <w:ind w:left="1276"/>
        <w:contextualSpacing/>
        <w:jc w:val="both"/>
        <w:rPr>
          <w:rFonts w:ascii="Times New Roman" w:hAnsi="Times New Roman" w:cs="Times New Roman"/>
          <w:b w:val="0"/>
          <w:caps w:val="0"/>
          <w:sz w:val="24"/>
          <w:szCs w:val="24"/>
        </w:rPr>
      </w:pPr>
      <w:r>
        <w:t xml:space="preserve"> </w:t>
      </w:r>
    </w:p>
    <w:p w14:paraId="2A132294" w14:textId="77777777" w:rsidR="00A14DBF" w:rsidRPr="00390D4B" w:rsidRDefault="00A14DBF" w:rsidP="00A14DBF">
      <w:pPr>
        <w:pStyle w:val="INTESTMAIUSC"/>
        <w:spacing w:after="0" w:line="240" w:lineRule="auto"/>
        <w:ind w:left="142"/>
        <w:contextualSpacing/>
        <w:jc w:val="both"/>
        <w:rPr>
          <w:rFonts w:ascii="Times New Roman" w:hAnsi="Times New Roman" w:cs="Times New Roman"/>
          <w:bCs/>
          <w:caps w:val="0"/>
          <w:sz w:val="24"/>
          <w:szCs w:val="24"/>
          <w:u w:val="single"/>
        </w:rPr>
      </w:pPr>
      <w:r w:rsidRPr="00390D4B">
        <w:rPr>
          <w:rFonts w:ascii="Times New Roman" w:hAnsi="Times New Roman" w:cs="Times New Roman"/>
          <w:bCs/>
          <w:caps w:val="0"/>
          <w:sz w:val="24"/>
          <w:szCs w:val="24"/>
          <w:u w:val="single"/>
        </w:rPr>
        <w:t xml:space="preserve">Situazione di Sicurezza: TRIPOLI </w:t>
      </w:r>
    </w:p>
    <w:p w14:paraId="3B224F9F" w14:textId="77777777" w:rsidR="00A14DBF" w:rsidRPr="000C5BFA" w:rsidRDefault="00A14DBF" w:rsidP="00A14DBF">
      <w:pPr>
        <w:pStyle w:val="INTESTMAIUSC"/>
        <w:spacing w:after="0" w:line="240" w:lineRule="auto"/>
        <w:ind w:left="142"/>
        <w:contextualSpacing/>
        <w:jc w:val="both"/>
        <w:rPr>
          <w:rFonts w:ascii="Times New Roman" w:hAnsi="Times New Roman" w:cs="Times New Roman"/>
          <w:b w:val="0"/>
          <w:caps w:val="0"/>
          <w:sz w:val="24"/>
          <w:szCs w:val="24"/>
        </w:rPr>
      </w:pPr>
      <w:r w:rsidRPr="000C5BFA">
        <w:rPr>
          <w:rFonts w:ascii="Times New Roman" w:hAnsi="Times New Roman" w:cs="Times New Roman"/>
          <w:b w:val="0"/>
          <w:caps w:val="0"/>
          <w:sz w:val="24"/>
          <w:szCs w:val="24"/>
        </w:rPr>
        <w:t xml:space="preserve">Nella Grande TRIPOLI, il dualismo politico sopra menzionato si riflette sul panorama miliziano, che risulta spaccato in funzione del supporto alle due governance. </w:t>
      </w:r>
    </w:p>
    <w:p w14:paraId="2E556805" w14:textId="77777777" w:rsidR="00A14DBF" w:rsidRPr="000C5BFA" w:rsidRDefault="00A14DBF" w:rsidP="00A14DBF">
      <w:pPr>
        <w:pStyle w:val="INTESTMAIUSC"/>
        <w:spacing w:after="0" w:line="240" w:lineRule="auto"/>
        <w:ind w:left="142"/>
        <w:contextualSpacing/>
        <w:jc w:val="both"/>
        <w:rPr>
          <w:rFonts w:ascii="Times New Roman" w:hAnsi="Times New Roman" w:cs="Times New Roman"/>
          <w:b w:val="0"/>
          <w:caps w:val="0"/>
          <w:sz w:val="24"/>
          <w:szCs w:val="24"/>
        </w:rPr>
      </w:pPr>
      <w:r w:rsidRPr="000C5BFA">
        <w:rPr>
          <w:rFonts w:ascii="Times New Roman" w:hAnsi="Times New Roman" w:cs="Times New Roman"/>
          <w:b w:val="0"/>
          <w:caps w:val="0"/>
          <w:sz w:val="24"/>
          <w:szCs w:val="24"/>
        </w:rPr>
        <w:t>L’ultimo tentativo di BISHAGHA (27 agosto 2022) ha determinato la riconfigurazione delle aree di influenza delle milizie, e in particolare un allontanamento di quelle favorevoli alla leadership di BISHAGHA e il rafforzamento ed espansione di quelle fedeli a DBEIBAH, il quale, nonostante si confermi leader della capitale, rimane dipendente dal supporto dei gruppi miliziani tripolini.</w:t>
      </w:r>
    </w:p>
    <w:p w14:paraId="1D8458D1" w14:textId="77777777" w:rsidR="00A14DBF" w:rsidRPr="000C5BFA" w:rsidRDefault="00A14DBF" w:rsidP="00A14DBF">
      <w:pPr>
        <w:pStyle w:val="INTESTMAIUSC"/>
        <w:spacing w:after="0" w:line="240" w:lineRule="auto"/>
        <w:ind w:left="142"/>
        <w:contextualSpacing/>
        <w:jc w:val="both"/>
        <w:rPr>
          <w:rFonts w:ascii="Times New Roman" w:hAnsi="Times New Roman" w:cs="Times New Roman"/>
          <w:b w:val="0"/>
          <w:caps w:val="0"/>
          <w:sz w:val="24"/>
          <w:szCs w:val="24"/>
        </w:rPr>
      </w:pPr>
      <w:r w:rsidRPr="000C5BFA">
        <w:rPr>
          <w:rFonts w:ascii="Times New Roman" w:hAnsi="Times New Roman" w:cs="Times New Roman"/>
          <w:b w:val="0"/>
          <w:caps w:val="0"/>
          <w:sz w:val="24"/>
          <w:szCs w:val="24"/>
        </w:rPr>
        <w:t xml:space="preserve">Pertanto, al momento, le possibilità che possa realmente verificarsi un avvicendamento tra le due </w:t>
      </w:r>
      <w:r w:rsidRPr="00637980">
        <w:rPr>
          <w:rFonts w:ascii="Times New Roman" w:hAnsi="Times New Roman" w:cs="Times New Roman"/>
          <w:b w:val="0"/>
          <w:i/>
          <w:iCs/>
          <w:caps w:val="0"/>
          <w:sz w:val="24"/>
          <w:szCs w:val="24"/>
        </w:rPr>
        <w:t>governance</w:t>
      </w:r>
      <w:r w:rsidRPr="000C5BFA">
        <w:rPr>
          <w:rFonts w:ascii="Times New Roman" w:hAnsi="Times New Roman" w:cs="Times New Roman"/>
          <w:b w:val="0"/>
          <w:caps w:val="0"/>
          <w:sz w:val="24"/>
          <w:szCs w:val="24"/>
        </w:rPr>
        <w:t xml:space="preserve"> sono decisamente limitate. Infatti, il </w:t>
      </w:r>
      <w:r w:rsidRPr="00637980">
        <w:rPr>
          <w:rFonts w:ascii="Times New Roman" w:hAnsi="Times New Roman" w:cs="Times New Roman"/>
          <w:b w:val="0"/>
          <w:i/>
          <w:iCs/>
          <w:caps w:val="0"/>
          <w:sz w:val="24"/>
          <w:szCs w:val="24"/>
        </w:rPr>
        <w:t>Premier</w:t>
      </w:r>
      <w:r w:rsidRPr="000C5BFA">
        <w:rPr>
          <w:rFonts w:ascii="Times New Roman" w:hAnsi="Times New Roman" w:cs="Times New Roman"/>
          <w:b w:val="0"/>
          <w:caps w:val="0"/>
          <w:sz w:val="24"/>
          <w:szCs w:val="24"/>
        </w:rPr>
        <w:t xml:space="preserve"> DBEIBAH gode dell’appoggio delle principali compagini miliziane tripolitane, polo di potere estremamente significativo per gli equilibri della TRIPOLITANIA. La preminenza dei gruppi armati sulla scena della Capitale è dimostrata dalla suddivisione della città in zone di influenza, amministrate in maniera “feudale” dalle milizie. </w:t>
      </w:r>
      <w:r w:rsidRPr="000C5BFA">
        <w:rPr>
          <w:rFonts w:ascii="Times New Roman" w:hAnsi="Times New Roman" w:cs="Times New Roman"/>
          <w:b w:val="0"/>
          <w:caps w:val="0"/>
          <w:sz w:val="24"/>
          <w:szCs w:val="24"/>
        </w:rPr>
        <w:lastRenderedPageBreak/>
        <w:t>Infatti, ogni formazione miliziana di TRIPOLI agisce in funzione della necessità di difendere e, se possibile, ampliare la sfera di potere del gruppo sociale di appartenenza.</w:t>
      </w:r>
    </w:p>
    <w:p w14:paraId="79500AF6" w14:textId="77777777" w:rsidR="00A14DBF" w:rsidRPr="000C5BFA" w:rsidRDefault="00A14DBF" w:rsidP="00A14DBF">
      <w:pPr>
        <w:pStyle w:val="INTESTMAIUSC"/>
        <w:spacing w:after="0" w:line="240" w:lineRule="auto"/>
        <w:ind w:left="142"/>
        <w:contextualSpacing/>
        <w:jc w:val="both"/>
        <w:rPr>
          <w:rFonts w:ascii="Times New Roman" w:hAnsi="Times New Roman" w:cs="Times New Roman"/>
          <w:b w:val="0"/>
          <w:caps w:val="0"/>
          <w:sz w:val="24"/>
          <w:szCs w:val="24"/>
        </w:rPr>
      </w:pPr>
      <w:r w:rsidRPr="000C5BFA">
        <w:rPr>
          <w:rFonts w:ascii="Times New Roman" w:hAnsi="Times New Roman" w:cs="Times New Roman"/>
          <w:b w:val="0"/>
          <w:caps w:val="0"/>
          <w:sz w:val="24"/>
          <w:szCs w:val="24"/>
        </w:rPr>
        <w:t>A causa della volatilità delle alleanze miliziane e dell’assenza di una struttura di sicurezza che possa arginare i comportamenti di stampo criminale-mafioso delle componenti armate, risulta impossibile prevedere gli scontri tra milizie che saltuariamente affliggono la Capitale.</w:t>
      </w:r>
    </w:p>
    <w:p w14:paraId="0EC172AF" w14:textId="77777777" w:rsidR="00A14DBF" w:rsidRDefault="00A14DBF" w:rsidP="00A14DBF">
      <w:pPr>
        <w:pStyle w:val="INTESTMAIUSC"/>
        <w:spacing w:after="0" w:line="240" w:lineRule="auto"/>
        <w:ind w:left="142"/>
        <w:contextualSpacing/>
        <w:jc w:val="both"/>
        <w:rPr>
          <w:rFonts w:ascii="Times New Roman" w:hAnsi="Times New Roman" w:cs="Times New Roman"/>
          <w:b w:val="0"/>
          <w:caps w:val="0"/>
          <w:sz w:val="24"/>
          <w:szCs w:val="24"/>
        </w:rPr>
      </w:pPr>
      <w:r w:rsidRPr="000C5BFA">
        <w:rPr>
          <w:rFonts w:ascii="Times New Roman" w:hAnsi="Times New Roman" w:cs="Times New Roman"/>
          <w:b w:val="0"/>
          <w:caps w:val="0"/>
          <w:sz w:val="24"/>
          <w:szCs w:val="24"/>
        </w:rPr>
        <w:t>L’imprevedibilità degli scontri che interessano la Capitale si riverbera in maniera diretta sulla minaccia nei confronti del personale nazionale in teatro perché, seppur non emergano, da parte del panorama miliziano tripolino, indicatori di insofferenza o ostilità contro il personale italiano, questi rappresentano il pericolo maggiore (seppur indiretto) per il dispositivo nazionale.</w:t>
      </w:r>
    </w:p>
    <w:p w14:paraId="2E596C08" w14:textId="77777777" w:rsidR="00A14DBF" w:rsidRDefault="00A14DBF" w:rsidP="00A14DBF">
      <w:pPr>
        <w:pStyle w:val="INTESTMAIUSC"/>
        <w:spacing w:after="0" w:line="240" w:lineRule="auto"/>
        <w:ind w:left="1276"/>
        <w:contextualSpacing/>
        <w:jc w:val="both"/>
        <w:rPr>
          <w:rFonts w:ascii="Times New Roman" w:hAnsi="Times New Roman" w:cs="Times New Roman"/>
          <w:b w:val="0"/>
          <w:caps w:val="0"/>
          <w:sz w:val="24"/>
          <w:szCs w:val="24"/>
        </w:rPr>
      </w:pPr>
    </w:p>
    <w:p w14:paraId="37923B2F" w14:textId="77777777" w:rsidR="00A14DBF" w:rsidRDefault="00A14DBF" w:rsidP="00A14DBF">
      <w:pPr>
        <w:pStyle w:val="INTESTMAIUSC"/>
        <w:keepNext/>
        <w:spacing w:after="0" w:line="240" w:lineRule="auto"/>
        <w:ind w:left="1276"/>
        <w:contextualSpacing/>
        <w:jc w:val="both"/>
        <w:rPr>
          <w:rFonts w:ascii="Times New Roman" w:hAnsi="Times New Roman" w:cs="Times New Roman"/>
          <w:b w:val="0"/>
          <w:caps w:val="0"/>
          <w:sz w:val="24"/>
          <w:szCs w:val="24"/>
        </w:rPr>
      </w:pPr>
      <w:r>
        <w:rPr>
          <w:noProof/>
        </w:rPr>
        <mc:AlternateContent>
          <mc:Choice Requires="wps">
            <w:drawing>
              <wp:anchor distT="0" distB="0" distL="114300" distR="114300" simplePos="0" relativeHeight="251659264" behindDoc="0" locked="0" layoutInCell="1" allowOverlap="1" wp14:anchorId="6F7E4327" wp14:editId="59E31C56">
                <wp:simplePos x="0" y="0"/>
                <wp:positionH relativeFrom="page">
                  <wp:posOffset>5947410</wp:posOffset>
                </wp:positionH>
                <wp:positionV relativeFrom="page">
                  <wp:posOffset>450215</wp:posOffset>
                </wp:positionV>
                <wp:extent cx="1295400" cy="285750"/>
                <wp:effectExtent l="0" t="0" r="19050" b="19050"/>
                <wp:wrapNone/>
                <wp:docPr id="27" name="Casella di testo 27"/>
                <wp:cNvGraphicFramePr/>
                <a:graphic xmlns:a="http://schemas.openxmlformats.org/drawingml/2006/main">
                  <a:graphicData uri="http://schemas.microsoft.com/office/word/2010/wordprocessingShape">
                    <wps:wsp>
                      <wps:cNvSpPr txBox="1"/>
                      <wps:spPr>
                        <a:xfrm>
                          <a:off x="0" y="0"/>
                          <a:ext cx="1295400" cy="285750"/>
                        </a:xfrm>
                        <a:prstGeom prst="rect">
                          <a:avLst/>
                        </a:prstGeom>
                        <a:solidFill>
                          <a:sysClr val="window" lastClr="FFFFFF"/>
                        </a:solidFill>
                        <a:ln w="6350">
                          <a:solidFill>
                            <a:sysClr val="window" lastClr="FFFFFF"/>
                          </a:solidFill>
                        </a:ln>
                      </wps:spPr>
                      <wps:txbx>
                        <w:txbxContent>
                          <w:p w14:paraId="09B4E7B1" w14:textId="77777777" w:rsidR="00A14DBF" w:rsidRPr="00BF45D7" w:rsidRDefault="00A14DBF" w:rsidP="00A14DBF">
                            <w:pPr>
                              <w:rPr>
                                <w:rFonts w:ascii="Times New Roman" w:hAnsi="Times New Roman" w:cs="Times New Roman"/>
                              </w:rPr>
                            </w:pPr>
                            <w:r>
                              <w:rPr>
                                <w:rFonts w:ascii="Times New Roman" w:hAnsi="Times New Roman" w:cs="Times New Roman"/>
                              </w:rPr>
                              <w:t xml:space="preserve">segue </w:t>
                            </w:r>
                            <w:r w:rsidRPr="00BF45D7">
                              <w:rPr>
                                <w:rFonts w:ascii="Times New Roman" w:hAnsi="Times New Roman" w:cs="Times New Roman"/>
                              </w:rPr>
                              <w:t>Allegato “</w:t>
                            </w:r>
                            <w:r>
                              <w:rPr>
                                <w:rFonts w:ascii="Times New Roman" w:hAnsi="Times New Roman" w:cs="Times New Roman"/>
                              </w:rPr>
                              <w:t>B</w:t>
                            </w:r>
                            <w:r w:rsidRPr="00BF45D7">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E4327" id="_x0000_t202" coordsize="21600,21600" o:spt="202" path="m,l,21600r21600,l21600,xe">
                <v:stroke joinstyle="miter"/>
                <v:path gradientshapeok="t" o:connecttype="rect"/>
              </v:shapetype>
              <v:shape id="Casella di testo 27" o:spid="_x0000_s1026" type="#_x0000_t202" style="position:absolute;left:0;text-align:left;margin-left:468.3pt;margin-top:35.45pt;width:102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" fillcolor="window" strokecolor="window" strokeweight=".5pt">
                <v:textbox>
                  <w:txbxContent>
                    <w:p w14:paraId="09B4E7B1" w14:textId="77777777" w:rsidR="00A14DBF" w:rsidRPr="00BF45D7" w:rsidRDefault="00A14DBF" w:rsidP="00A14DBF">
                      <w:pPr>
                        <w:rPr>
                          <w:rFonts w:ascii="Times New Roman" w:hAnsi="Times New Roman" w:cs="Times New Roman"/>
                        </w:rPr>
                      </w:pPr>
                      <w:r>
                        <w:rPr>
                          <w:rFonts w:ascii="Times New Roman" w:hAnsi="Times New Roman" w:cs="Times New Roman"/>
                        </w:rPr>
                        <w:t xml:space="preserve">segue </w:t>
                      </w:r>
                      <w:r w:rsidRPr="00BF45D7">
                        <w:rPr>
                          <w:rFonts w:ascii="Times New Roman" w:hAnsi="Times New Roman" w:cs="Times New Roman"/>
                        </w:rPr>
                        <w:t>Allegato “</w:t>
                      </w:r>
                      <w:r>
                        <w:rPr>
                          <w:rFonts w:ascii="Times New Roman" w:hAnsi="Times New Roman" w:cs="Times New Roman"/>
                        </w:rPr>
                        <w:t>B</w:t>
                      </w:r>
                      <w:r w:rsidRPr="00BF45D7">
                        <w:rPr>
                          <w:rFonts w:ascii="Times New Roman" w:hAnsi="Times New Roman" w:cs="Times New Roman"/>
                        </w:rPr>
                        <w:t>”</w:t>
                      </w:r>
                    </w:p>
                  </w:txbxContent>
                </v:textbox>
                <w10:wrap anchorx="page" anchory="page"/>
              </v:shape>
            </w:pict>
          </mc:Fallback>
        </mc:AlternateContent>
      </w:r>
    </w:p>
    <w:p w14:paraId="7FF55077" w14:textId="77777777" w:rsidR="00A14DBF" w:rsidRDefault="00A14DBF" w:rsidP="00A14DBF">
      <w:pPr>
        <w:pStyle w:val="INTESTMAIUSC"/>
        <w:spacing w:after="0" w:line="240" w:lineRule="auto"/>
        <w:ind w:left="1134" w:hanging="708"/>
        <w:contextualSpacing/>
        <w:rPr>
          <w:rFonts w:ascii="Times New Roman" w:hAnsi="Times New Roman" w:cs="Times New Roman"/>
          <w:b w:val="0"/>
          <w:caps w:val="0"/>
          <w:sz w:val="24"/>
          <w:szCs w:val="24"/>
        </w:rPr>
      </w:pPr>
      <w:r>
        <w:rPr>
          <w:noProof/>
        </w:rPr>
        <w:drawing>
          <wp:inline distT="0" distB="0" distL="0" distR="0" wp14:anchorId="78C3021B" wp14:editId="6C34B11B">
            <wp:extent cx="4680000" cy="2880000"/>
            <wp:effectExtent l="0" t="0" r="6350" b="0"/>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4926" b="2739"/>
                    <a:stretch/>
                  </pic:blipFill>
                  <pic:spPr bwMode="auto">
                    <a:xfrm>
                      <a:off x="0" y="0"/>
                      <a:ext cx="4680000" cy="2880000"/>
                    </a:xfrm>
                    <a:prstGeom prst="rect">
                      <a:avLst/>
                    </a:prstGeom>
                    <a:noFill/>
                    <a:ln>
                      <a:noFill/>
                    </a:ln>
                    <a:extLst>
                      <a:ext uri="{53640926-AAD7-44D8-BBD7-CCE9431645EC}">
                        <a14:shadowObscured xmlns:a14="http://schemas.microsoft.com/office/drawing/2010/main"/>
                      </a:ext>
                    </a:extLst>
                  </pic:spPr>
                </pic:pic>
              </a:graphicData>
            </a:graphic>
          </wp:inline>
        </w:drawing>
      </w:r>
    </w:p>
    <w:p w14:paraId="011CCFA2" w14:textId="77777777" w:rsidR="00A14DBF" w:rsidRPr="000C5BFA" w:rsidRDefault="00A14DBF" w:rsidP="00A14DBF">
      <w:pPr>
        <w:pStyle w:val="Didascalia"/>
        <w:jc w:val="center"/>
        <w:rPr>
          <w:rFonts w:ascii="Times New Roman" w:hAnsi="Times New Roman" w:cs="Times New Roman"/>
          <w:b/>
          <w:caps/>
          <w:sz w:val="24"/>
          <w:szCs w:val="24"/>
        </w:rPr>
      </w:pPr>
      <w:r>
        <w:t xml:space="preserve">Figura </w:t>
      </w:r>
      <w:r>
        <w:fldChar w:fldCharType="begin"/>
      </w:r>
      <w:r>
        <w:instrText xml:space="preserve"> SEQ Figura \* ARABIC </w:instrText>
      </w:r>
      <w:r>
        <w:fldChar w:fldCharType="separate"/>
      </w:r>
      <w:r>
        <w:rPr>
          <w:noProof/>
        </w:rPr>
        <w:t>2</w:t>
      </w:r>
      <w:r>
        <w:rPr>
          <w:noProof/>
        </w:rPr>
        <w:fldChar w:fldCharType="end"/>
      </w:r>
      <w:r>
        <w:t xml:space="preserve"> - Inquadramento generale. </w:t>
      </w:r>
    </w:p>
    <w:p w14:paraId="49562AA1" w14:textId="77777777" w:rsidR="00A14DBF" w:rsidRDefault="00A14DBF" w:rsidP="00A14DBF">
      <w:pPr>
        <w:pStyle w:val="INTESTMAIUSC"/>
        <w:spacing w:after="0" w:line="240" w:lineRule="auto"/>
        <w:ind w:left="1134" w:hanging="708"/>
        <w:contextualSpacing/>
        <w:rPr>
          <w:rFonts w:ascii="Times New Roman" w:hAnsi="Times New Roman" w:cs="Times New Roman"/>
          <w:b w:val="0"/>
          <w:caps w:val="0"/>
          <w:sz w:val="24"/>
          <w:szCs w:val="24"/>
        </w:rPr>
      </w:pPr>
    </w:p>
    <w:p w14:paraId="09AE45D9" w14:textId="77777777" w:rsidR="00A14DBF" w:rsidRDefault="00A14DBF" w:rsidP="00A14DBF">
      <w:pPr>
        <w:pStyle w:val="INTESTMAIUSC"/>
        <w:spacing w:after="0" w:line="240" w:lineRule="auto"/>
        <w:ind w:left="1134" w:hanging="708"/>
        <w:contextualSpacing/>
        <w:rPr>
          <w:rFonts w:ascii="Times New Roman" w:hAnsi="Times New Roman" w:cs="Times New Roman"/>
          <w:b w:val="0"/>
          <w:caps w:val="0"/>
          <w:sz w:val="24"/>
          <w:szCs w:val="24"/>
        </w:rPr>
      </w:pPr>
      <w:r w:rsidRPr="00004728">
        <w:rPr>
          <w:noProof/>
        </w:rPr>
        <w:drawing>
          <wp:inline distT="0" distB="0" distL="0" distR="0" wp14:anchorId="3C7B36D8" wp14:editId="5DF3D4CF">
            <wp:extent cx="4680000" cy="2880000"/>
            <wp:effectExtent l="0" t="0" r="6350" b="0"/>
            <wp:docPr id="22" name="Immagin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680000" cy="2880000"/>
                    </a:xfrm>
                    <a:prstGeom prst="rect">
                      <a:avLst/>
                    </a:prstGeom>
                  </pic:spPr>
                </pic:pic>
              </a:graphicData>
            </a:graphic>
          </wp:inline>
        </w:drawing>
      </w:r>
    </w:p>
    <w:p w14:paraId="7DBA4F39" w14:textId="77777777" w:rsidR="00A14DBF" w:rsidRDefault="00A14DBF" w:rsidP="00A14DBF">
      <w:pPr>
        <w:pStyle w:val="Didascalia"/>
        <w:jc w:val="center"/>
        <w:rPr>
          <w:rFonts w:ascii="Times New Roman" w:hAnsi="Times New Roman" w:cs="Times New Roman"/>
          <w:b/>
          <w:caps/>
          <w:sz w:val="24"/>
          <w:szCs w:val="24"/>
        </w:rPr>
      </w:pPr>
      <w:r>
        <w:t xml:space="preserve">Figura </w:t>
      </w:r>
      <w:r>
        <w:fldChar w:fldCharType="begin"/>
      </w:r>
      <w:r>
        <w:instrText xml:space="preserve"> SEQ Figura \* ARABIC </w:instrText>
      </w:r>
      <w:r>
        <w:fldChar w:fldCharType="separate"/>
      </w:r>
      <w:r>
        <w:rPr>
          <w:noProof/>
        </w:rPr>
        <w:t>3</w:t>
      </w:r>
      <w:r>
        <w:rPr>
          <w:noProof/>
        </w:rPr>
        <w:fldChar w:fldCharType="end"/>
      </w:r>
      <w:r>
        <w:t xml:space="preserve"> - Inquadramento della Capitale. Aree di influenza delle milizie tripoline.</w:t>
      </w:r>
    </w:p>
    <w:p w14:paraId="3D86F8BF" w14:textId="77777777" w:rsidR="00001DD6" w:rsidRDefault="00001DD6"/>
    <w:sectPr w:rsidR="00001D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E5223"/>
    <w:multiLevelType w:val="hybridMultilevel"/>
    <w:tmpl w:val="679E7A34"/>
    <w:lvl w:ilvl="0" w:tplc="1826B544">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DD6"/>
    <w:rsid w:val="00001DD6"/>
    <w:rsid w:val="00A14D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E3D66-C1FE-4F02-8303-04EEA0AF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4D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MAIUSC">
    <w:name w:val="INTEST MAIUSC"/>
    <w:qFormat/>
    <w:rsid w:val="00A14DBF"/>
    <w:pPr>
      <w:widowControl w:val="0"/>
      <w:spacing w:after="240" w:line="400" w:lineRule="atLeast"/>
      <w:jc w:val="center"/>
    </w:pPr>
    <w:rPr>
      <w:rFonts w:ascii="Calibri" w:eastAsia="Calibri" w:hAnsi="Calibri" w:cs="Tahoma"/>
      <w:b/>
      <w:caps/>
      <w:color w:val="00000A"/>
      <w:sz w:val="32"/>
    </w:rPr>
  </w:style>
  <w:style w:type="paragraph" w:styleId="Didascalia">
    <w:name w:val="caption"/>
    <w:basedOn w:val="Normale"/>
    <w:next w:val="Normale"/>
    <w:uiPriority w:val="35"/>
    <w:unhideWhenUsed/>
    <w:qFormat/>
    <w:rsid w:val="00A14DB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4600</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2023-07-23T13:05:00Z</dcterms:created>
  <dcterms:modified xsi:type="dcterms:W3CDTF">2023-07-23T13:05:00Z</dcterms:modified>
</cp:coreProperties>
</file>