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326B" w14:textId="47B87B52" w:rsidR="00A75CAB" w:rsidRDefault="00A75CAB" w:rsidP="00A75CAB">
      <w:pPr>
        <w:pStyle w:val="Default"/>
        <w:spacing w:line="360" w:lineRule="auto"/>
        <w:jc w:val="center"/>
        <w:rPr>
          <w:rFonts w:ascii="Century Gothic" w:hAnsi="Century Gothic"/>
          <w:b/>
          <w:bCs/>
          <w:color w:val="000009"/>
          <w:u w:val="single"/>
        </w:rPr>
      </w:pPr>
      <w:r>
        <w:rPr>
          <w:rFonts w:ascii="Century Gothic" w:hAnsi="Century Gothic"/>
          <w:b/>
          <w:bCs/>
          <w:color w:val="000009"/>
          <w:u w:val="single"/>
        </w:rPr>
        <w:t>Contributo PMESII del 02 Settembre 2023</w:t>
      </w:r>
    </w:p>
    <w:p w14:paraId="5FC03039" w14:textId="77777777" w:rsidR="00A75CAB" w:rsidRDefault="00A75CAB" w:rsidP="00A75CAB">
      <w:pPr>
        <w:pStyle w:val="Default"/>
        <w:spacing w:line="360" w:lineRule="auto"/>
        <w:jc w:val="center"/>
        <w:rPr>
          <w:rFonts w:ascii="Century Gothic" w:hAnsi="Century Gothic"/>
          <w:b/>
          <w:bCs/>
          <w:color w:val="000009"/>
        </w:rPr>
      </w:pPr>
    </w:p>
    <w:p w14:paraId="6B06F690" w14:textId="77777777" w:rsidR="00A75CAB" w:rsidRDefault="00A75CAB" w:rsidP="00A75CAB">
      <w:pPr>
        <w:pStyle w:val="Default"/>
        <w:numPr>
          <w:ilvl w:val="0"/>
          <w:numId w:val="1"/>
        </w:numPr>
        <w:spacing w:line="360" w:lineRule="auto"/>
        <w:ind w:left="284" w:hanging="284"/>
        <w:jc w:val="both"/>
        <w:rPr>
          <w:rFonts w:ascii="Century Gothic" w:hAnsi="Century Gothic"/>
        </w:rPr>
      </w:pPr>
      <w:r>
        <w:rPr>
          <w:rFonts w:ascii="Century Gothic" w:hAnsi="Century Gothic"/>
          <w:b/>
          <w:bCs/>
          <w:color w:val="000009"/>
        </w:rPr>
        <w:t>(INCC) SITUAZIONE GENERALE</w:t>
      </w:r>
    </w:p>
    <w:p w14:paraId="052DD5D2" w14:textId="58DFFA65" w:rsidR="00A75CAB" w:rsidRDefault="00A75CAB" w:rsidP="00A75CAB">
      <w:pPr>
        <w:pStyle w:val="Standard"/>
        <w:spacing w:line="360" w:lineRule="auto"/>
        <w:ind w:left="284"/>
        <w:jc w:val="both"/>
        <w:rPr>
          <w:rFonts w:ascii="Century Gothic" w:hAnsi="Century Gothic"/>
        </w:rPr>
      </w:pPr>
      <w:r>
        <w:rPr>
          <w:rFonts w:ascii="Century Gothic" w:hAnsi="Century Gothic"/>
        </w:rPr>
        <w:t xml:space="preserve">La situazione politica libica è stata interessata </w:t>
      </w:r>
    </w:p>
    <w:p w14:paraId="238E0B7E" w14:textId="77777777" w:rsidR="00A75CAB" w:rsidRDefault="00A75CAB" w:rsidP="00A75CAB">
      <w:pPr>
        <w:tabs>
          <w:tab w:val="left" w:pos="-22466"/>
        </w:tabs>
        <w:spacing w:after="0" w:line="360" w:lineRule="auto"/>
        <w:jc w:val="both"/>
        <w:rPr>
          <w:rFonts w:ascii="Century Gothic" w:hAnsi="Century Gothic"/>
        </w:rPr>
      </w:pPr>
      <w:r>
        <w:rPr>
          <w:rFonts w:ascii="Century Gothic" w:hAnsi="Century Gothic"/>
        </w:rPr>
        <w:t>La situazione politica libica è stata interessata dalle elezioni del neo Presidente dell’Alto Consiglio di Stato (ACS) del Governo di Unità Nazionale (GUN) che ha visto la vittoria di Muhammad TAKALA. TAKALA è considerato un “uomo delle istituzioni” e vanta una lunga esperienza politica anche in ambito ACS. La candidatura di TAKALA rientrava negli sforzi di DBEIBAH per rimuovere AL-MISHRI. Noti i contrasti tra le due principali cariche del GUN e le manovre politiche di AL-MISHRI per sostituire il governo di DBEIBAH.</w:t>
      </w:r>
    </w:p>
    <w:p w14:paraId="1B5BAF13" w14:textId="77777777" w:rsidR="00A75CAB" w:rsidRDefault="00A75CAB" w:rsidP="00A75CAB">
      <w:pPr>
        <w:pStyle w:val="Standard"/>
        <w:spacing w:line="360" w:lineRule="auto"/>
        <w:jc w:val="both"/>
        <w:rPr>
          <w:rFonts w:ascii="Century Gothic" w:hAnsi="Century Gothic"/>
          <w:sz w:val="22"/>
          <w:szCs w:val="22"/>
        </w:rPr>
      </w:pPr>
      <w:r>
        <w:rPr>
          <w:rFonts w:ascii="Century Gothic" w:hAnsi="Century Gothic"/>
          <w:sz w:val="22"/>
          <w:szCs w:val="22"/>
        </w:rPr>
        <w:t xml:space="preserve">Le reazioni alle elezioni del neo Presidente dell’ACS, dei vari attori del panorama politico/istituzionale, daranno la misura delle iniziative, in ambito percorso elettorale, per </w:t>
      </w:r>
      <w:r>
        <w:rPr>
          <w:rFonts w:ascii="Century Gothic" w:hAnsi="Century Gothic" w:cs="Times New Roman"/>
          <w:sz w:val="22"/>
          <w:szCs w:val="22"/>
        </w:rPr>
        <w:t>consentire lo svolgimento delle elezioni Presidenziali e parlamentari.</w:t>
      </w:r>
    </w:p>
    <w:p w14:paraId="040008D3" w14:textId="77777777" w:rsidR="00635337" w:rsidRDefault="00635337" w:rsidP="00635337">
      <w:pPr>
        <w:tabs>
          <w:tab w:val="left" w:pos="-22466"/>
        </w:tabs>
        <w:spacing w:after="0" w:line="360" w:lineRule="auto"/>
        <w:ind w:right="281"/>
        <w:jc w:val="both"/>
        <w:rPr>
          <w:rFonts w:ascii="Century Gothic" w:hAnsi="Century Gothic"/>
        </w:rPr>
      </w:pPr>
      <w:r>
        <w:rPr>
          <w:rFonts w:ascii="Century Gothic" w:hAnsi="Century Gothic"/>
        </w:rPr>
        <w:t>La s</w:t>
      </w:r>
      <w:r w:rsidRPr="00EE409E">
        <w:rPr>
          <w:rFonts w:ascii="Century Gothic" w:hAnsi="Century Gothic"/>
        </w:rPr>
        <w:t xml:space="preserve">ituazione politica </w:t>
      </w:r>
      <w:r>
        <w:rPr>
          <w:rFonts w:ascii="Century Gothic" w:hAnsi="Century Gothic"/>
        </w:rPr>
        <w:t xml:space="preserve">rimane caratterizzata dall’attivismo dei vari attori del panorama politico/istituzionale alla ricerca di soluzioni che possano facilitare il percorso elettorale. Il cambio al vertice </w:t>
      </w:r>
      <w:r w:rsidRPr="00EE409E">
        <w:rPr>
          <w:rFonts w:ascii="Century Gothic" w:hAnsi="Century Gothic"/>
        </w:rPr>
        <w:t>dell’Alto Consiglio di Stato (ACS)</w:t>
      </w:r>
      <w:r>
        <w:rPr>
          <w:rFonts w:ascii="Century Gothic" w:hAnsi="Century Gothic"/>
        </w:rPr>
        <w:t xml:space="preserve"> non ha registrato contraccolpi negativi, accettato come percorso naturale nelle istituzioni, pur sottolineando il poco margine di manovra che lo stesso TAKALA avrebbe nella ricerca di soluzioni </w:t>
      </w:r>
      <w:r w:rsidRPr="001B320F">
        <w:rPr>
          <w:rFonts w:ascii="Century Gothic" w:hAnsi="Century Gothic"/>
        </w:rPr>
        <w:t xml:space="preserve">che portino stabilità in LIBIA e </w:t>
      </w:r>
      <w:r>
        <w:rPr>
          <w:rFonts w:ascii="Century Gothic" w:hAnsi="Century Gothic"/>
        </w:rPr>
        <w:t>verso la</w:t>
      </w:r>
      <w:r w:rsidRPr="001B320F">
        <w:rPr>
          <w:rFonts w:ascii="Century Gothic" w:hAnsi="Century Gothic"/>
        </w:rPr>
        <w:t xml:space="preserve"> riconciliazione nazionale</w:t>
      </w:r>
      <w:r>
        <w:rPr>
          <w:rFonts w:ascii="Century Gothic" w:hAnsi="Century Gothic"/>
        </w:rPr>
        <w:t xml:space="preserve">. </w:t>
      </w:r>
    </w:p>
    <w:p w14:paraId="105F30D7" w14:textId="77777777" w:rsidR="00635337" w:rsidRDefault="00635337" w:rsidP="00635337">
      <w:pPr>
        <w:tabs>
          <w:tab w:val="left" w:pos="-22466"/>
        </w:tabs>
        <w:spacing w:after="0" w:line="360" w:lineRule="auto"/>
        <w:ind w:right="281"/>
        <w:jc w:val="both"/>
        <w:rPr>
          <w:rFonts w:ascii="Century Gothic" w:hAnsi="Century Gothic"/>
        </w:rPr>
      </w:pPr>
      <w:r>
        <w:rPr>
          <w:rFonts w:ascii="Century Gothic" w:hAnsi="Century Gothic"/>
        </w:rPr>
        <w:t xml:space="preserve">Le iniziative di TAKALA saranno indirizzate a confrontarsi con </w:t>
      </w:r>
      <w:r w:rsidRPr="001B320F">
        <w:rPr>
          <w:rFonts w:ascii="Century Gothic" w:hAnsi="Century Gothic"/>
        </w:rPr>
        <w:t>gli sviluppi del processo politico e i risultati dei lavori del Comitato 6+6</w:t>
      </w:r>
      <w:r>
        <w:rPr>
          <w:rFonts w:ascii="Century Gothic" w:hAnsi="Century Gothic"/>
        </w:rPr>
        <w:t xml:space="preserve"> </w:t>
      </w:r>
      <w:r w:rsidRPr="001B320F">
        <w:rPr>
          <w:rFonts w:ascii="Century Gothic" w:hAnsi="Century Gothic"/>
        </w:rPr>
        <w:t>per la preparazione delle leggi elettorali</w:t>
      </w:r>
      <w:r>
        <w:rPr>
          <w:rFonts w:ascii="Century Gothic" w:hAnsi="Century Gothic"/>
        </w:rPr>
        <w:t xml:space="preserve"> nel tentativo di uscire dalla crisi/stallo politico.</w:t>
      </w:r>
    </w:p>
    <w:p w14:paraId="2395DF2B" w14:textId="77777777" w:rsidR="00A75CAB" w:rsidRDefault="00A75CAB" w:rsidP="00A75CAB">
      <w:pPr>
        <w:pStyle w:val="Standard"/>
        <w:spacing w:line="360" w:lineRule="auto"/>
        <w:ind w:left="284"/>
        <w:jc w:val="both"/>
        <w:rPr>
          <w:rFonts w:ascii="Century Gothic" w:hAnsi="Century Gothic" w:cs="Times New Roman"/>
        </w:rPr>
      </w:pPr>
    </w:p>
    <w:p w14:paraId="4A709528" w14:textId="0B5FD1E2" w:rsidR="00A75CAB" w:rsidRDefault="00A75CAB" w:rsidP="00A75CAB">
      <w:pPr>
        <w:pStyle w:val="Standard"/>
        <w:spacing w:line="360" w:lineRule="auto"/>
        <w:ind w:left="284"/>
        <w:jc w:val="both"/>
        <w:rPr>
          <w:rFonts w:ascii="Century Gothic" w:hAnsi="Century Gothic" w:cs="Times New Roman"/>
        </w:rPr>
      </w:pPr>
    </w:p>
    <w:p w14:paraId="5C16FE64" w14:textId="77777777" w:rsidR="00A75CAB" w:rsidRDefault="00A75CAB" w:rsidP="00A75CAB">
      <w:pPr>
        <w:pStyle w:val="Default"/>
        <w:numPr>
          <w:ilvl w:val="0"/>
          <w:numId w:val="1"/>
        </w:numPr>
        <w:spacing w:line="360" w:lineRule="auto"/>
        <w:ind w:left="284" w:hanging="284"/>
        <w:jc w:val="both"/>
        <w:rPr>
          <w:rFonts w:ascii="Century Gothic" w:hAnsi="Century Gothic"/>
          <w:color w:val="00000F"/>
        </w:rPr>
      </w:pPr>
      <w:r>
        <w:rPr>
          <w:rFonts w:ascii="Century Gothic" w:hAnsi="Century Gothic"/>
          <w:b/>
          <w:bCs/>
          <w:color w:val="00000F"/>
        </w:rPr>
        <w:t xml:space="preserve">(INCC) SITUAZIONE SICUREZZA </w:t>
      </w:r>
    </w:p>
    <w:p w14:paraId="4724D4B7" w14:textId="77777777" w:rsidR="00635337" w:rsidRPr="00635337" w:rsidRDefault="00635337" w:rsidP="00635337">
      <w:pPr>
        <w:pStyle w:val="Paragrafoelenco"/>
        <w:numPr>
          <w:ilvl w:val="0"/>
          <w:numId w:val="1"/>
        </w:numPr>
        <w:shd w:val="clear" w:color="auto" w:fill="FFFFFF"/>
        <w:spacing w:after="0" w:line="360" w:lineRule="auto"/>
        <w:jc w:val="both"/>
        <w:rPr>
          <w:rFonts w:ascii="Century Gothic" w:hAnsi="Century Gothic"/>
        </w:rPr>
      </w:pPr>
      <w:r w:rsidRPr="00635337">
        <w:rPr>
          <w:rFonts w:ascii="Century Gothic" w:hAnsi="Century Gothic" w:cs="CIDFont+F4"/>
        </w:rPr>
        <w:t xml:space="preserve">Le Forze di Sicurezza della TRIPOLITANIA e della CIRENAICA continuano ad essere impegnate in operazioni di contrasto alla </w:t>
      </w:r>
      <w:r w:rsidRPr="00635337">
        <w:rPr>
          <w:rFonts w:ascii="Century Gothic" w:hAnsi="Century Gothic"/>
        </w:rPr>
        <w:t>criminalità ed a difesa dei confini del Paese.</w:t>
      </w:r>
    </w:p>
    <w:p w14:paraId="6B015D46" w14:textId="77777777" w:rsidR="00635337" w:rsidRPr="00635337" w:rsidRDefault="00635337" w:rsidP="00635337">
      <w:pPr>
        <w:pStyle w:val="Paragrafoelenco"/>
        <w:numPr>
          <w:ilvl w:val="0"/>
          <w:numId w:val="1"/>
        </w:numPr>
        <w:shd w:val="clear" w:color="auto" w:fill="FFFFFF"/>
        <w:spacing w:after="0" w:line="360" w:lineRule="auto"/>
        <w:jc w:val="both"/>
        <w:rPr>
          <w:rFonts w:ascii="Century Gothic" w:hAnsi="Century Gothic"/>
        </w:rPr>
      </w:pPr>
      <w:r w:rsidRPr="00635337">
        <w:rPr>
          <w:rFonts w:ascii="Century Gothic" w:hAnsi="Century Gothic"/>
        </w:rPr>
        <w:t xml:space="preserve">Unità del </w:t>
      </w:r>
      <w:r w:rsidRPr="00635337">
        <w:rPr>
          <w:rFonts w:ascii="Century Gothic" w:hAnsi="Century Gothic"/>
          <w:i/>
          <w:iCs/>
        </w:rPr>
        <w:t>Libya National Army</w:t>
      </w:r>
      <w:r w:rsidRPr="00635337">
        <w:rPr>
          <w:rFonts w:ascii="Century Gothic" w:hAnsi="Century Gothic"/>
        </w:rPr>
        <w:t xml:space="preserve"> (LNA di Khalifa HAFTAR) sono schierate a sud-est della LIBIA, regione del FEZZAN, per rafforzare l'area di confine tra LIBIA e NIGER a seguito del colpo di stato in corso nel Paese e controlli di sicurezza nelle aree confinarie libico-ciadiane con l’impiego della 128</w:t>
      </w:r>
      <w:r w:rsidRPr="00635337">
        <w:rPr>
          <w:rFonts w:ascii="Century Gothic" w:hAnsi="Century Gothic"/>
          <w:vertAlign w:val="superscript"/>
        </w:rPr>
        <w:t>a</w:t>
      </w:r>
      <w:r w:rsidRPr="00635337">
        <w:rPr>
          <w:rFonts w:ascii="Century Gothic" w:hAnsi="Century Gothic"/>
        </w:rPr>
        <w:t xml:space="preserve"> Brigata Rinforzata (LNA).</w:t>
      </w:r>
    </w:p>
    <w:p w14:paraId="2E643CBE" w14:textId="77777777" w:rsidR="00635337" w:rsidRPr="00635337" w:rsidRDefault="00635337" w:rsidP="00635337">
      <w:pPr>
        <w:pStyle w:val="Paragrafoelenco"/>
        <w:numPr>
          <w:ilvl w:val="0"/>
          <w:numId w:val="1"/>
        </w:numPr>
        <w:shd w:val="clear" w:color="auto" w:fill="FFFFFF"/>
        <w:spacing w:after="0" w:line="360" w:lineRule="auto"/>
        <w:jc w:val="both"/>
        <w:rPr>
          <w:rFonts w:ascii="Century Gothic" w:hAnsi="Century Gothic"/>
        </w:rPr>
      </w:pPr>
      <w:r w:rsidRPr="00635337">
        <w:rPr>
          <w:rFonts w:ascii="Century Gothic" w:hAnsi="Century Gothic"/>
        </w:rPr>
        <w:t xml:space="preserve">La </w:t>
      </w:r>
      <w:proofErr w:type="spellStart"/>
      <w:r w:rsidRPr="00635337">
        <w:rPr>
          <w:rFonts w:ascii="Century Gothic" w:hAnsi="Century Gothic"/>
          <w:i/>
        </w:rPr>
        <w:t>Border</w:t>
      </w:r>
      <w:proofErr w:type="spellEnd"/>
      <w:r w:rsidRPr="00635337">
        <w:rPr>
          <w:rFonts w:ascii="Century Gothic" w:hAnsi="Century Gothic"/>
          <w:i/>
        </w:rPr>
        <w:t xml:space="preserve"> Guard</w:t>
      </w:r>
      <w:r w:rsidRPr="00635337">
        <w:rPr>
          <w:rFonts w:ascii="Century Gothic" w:hAnsi="Century Gothic"/>
        </w:rPr>
        <w:t xml:space="preserve"> libica (BG del GUN) è impegnata nei controlli nelle zone di confine con la TUNISIA, sulla rotta del contrabbando e dei trafficanti di esseri umani conducendo anche operazioni di salvataggio di migranti. Nell’area di confine libico-tunisino si registra un incremento del numero di migranti che cercano di attraversare il </w:t>
      </w:r>
      <w:r w:rsidRPr="00635337">
        <w:rPr>
          <w:rFonts w:ascii="Century Gothic" w:hAnsi="Century Gothic"/>
        </w:rPr>
        <w:lastRenderedPageBreak/>
        <w:t>confine con la LIBIA diretti in EUROPA. Giornalieri i ritrovamenti di immigranti deceduti nelle aree desertiche in prossimità dei confini. Numerose le accuse dirette alla TUNISIA dagli stessi migranti per le “</w:t>
      </w:r>
      <w:r w:rsidRPr="00635337">
        <w:rPr>
          <w:rFonts w:ascii="Century Gothic" w:hAnsi="Century Gothic"/>
          <w:i/>
          <w:iCs/>
        </w:rPr>
        <w:t>espulsioni e le deportazioni forzate</w:t>
      </w:r>
      <w:r w:rsidRPr="00635337">
        <w:rPr>
          <w:rFonts w:ascii="Century Gothic" w:hAnsi="Century Gothic"/>
        </w:rPr>
        <w:t>” verso la LIBIA.</w:t>
      </w:r>
    </w:p>
    <w:p w14:paraId="567B17AB" w14:textId="77777777" w:rsidR="00635337" w:rsidRPr="00635337" w:rsidRDefault="00635337" w:rsidP="00635337">
      <w:pPr>
        <w:pStyle w:val="Paragrafoelenco"/>
        <w:numPr>
          <w:ilvl w:val="0"/>
          <w:numId w:val="1"/>
        </w:numPr>
        <w:shd w:val="clear" w:color="auto" w:fill="FFFFFF"/>
        <w:spacing w:after="0" w:line="360" w:lineRule="auto"/>
        <w:jc w:val="both"/>
        <w:rPr>
          <w:rFonts w:ascii="Century Gothic" w:hAnsi="Century Gothic"/>
        </w:rPr>
      </w:pPr>
      <w:r w:rsidRPr="00635337">
        <w:rPr>
          <w:rFonts w:ascii="Century Gothic" w:hAnsi="Century Gothic"/>
        </w:rPr>
        <w:t>La TRIPOLITANIA continua a presentare un ambiente operativo relativamente permissivo con aree soggette a possibili innalzamenti della tensione che risultano essere: AL-ZAWIYA, AL-AZIZIYAH, GHARYAN, distretto della MONTAGNA OCCIDENTALE e l’area di WARSHEFANA.</w:t>
      </w:r>
    </w:p>
    <w:p w14:paraId="4B47E25F" w14:textId="1CDC398F" w:rsidR="00635337" w:rsidRDefault="00635337" w:rsidP="00635337">
      <w:pPr>
        <w:pStyle w:val="Paragrafoelenco"/>
        <w:numPr>
          <w:ilvl w:val="0"/>
          <w:numId w:val="1"/>
        </w:numPr>
        <w:shd w:val="clear" w:color="auto" w:fill="FFFFFF"/>
        <w:spacing w:after="0" w:line="360" w:lineRule="auto"/>
        <w:jc w:val="both"/>
        <w:rPr>
          <w:rFonts w:ascii="Century Gothic" w:hAnsi="Century Gothic"/>
        </w:rPr>
      </w:pPr>
      <w:r w:rsidRPr="00635337">
        <w:rPr>
          <w:rFonts w:ascii="Century Gothic" w:hAnsi="Century Gothic"/>
        </w:rPr>
        <w:t>Nell’area della Capitale persiste una situazione stabile con le forze di sicurezza libiche impegnate nel controllo di aree sensibili in particolare circostanti la Piazza dei Martiri, luogo preposto alla parata militare (giornata delle Forze Armate Libiche) programmata per il 09 agosto.</w:t>
      </w:r>
    </w:p>
    <w:p w14:paraId="4798E795" w14:textId="4FF927A7" w:rsidR="00635337" w:rsidRDefault="00635337" w:rsidP="00635337">
      <w:pPr>
        <w:pStyle w:val="Paragrafoelenco"/>
        <w:shd w:val="clear" w:color="auto" w:fill="FFFFFF"/>
        <w:spacing w:after="0" w:line="360" w:lineRule="auto"/>
        <w:ind w:left="360"/>
        <w:jc w:val="both"/>
        <w:rPr>
          <w:rFonts w:ascii="Century Gothic" w:hAnsi="Century Gothic"/>
        </w:rPr>
      </w:pPr>
    </w:p>
    <w:p w14:paraId="1A611CE7" w14:textId="77777777" w:rsidR="00635337" w:rsidRPr="004B4E70" w:rsidRDefault="00635337" w:rsidP="00635337">
      <w:pPr>
        <w:shd w:val="clear" w:color="auto" w:fill="FFFFFF"/>
        <w:spacing w:after="0" w:line="360" w:lineRule="auto"/>
        <w:ind w:right="281"/>
        <w:jc w:val="both"/>
        <w:rPr>
          <w:rFonts w:ascii="Century Gothic" w:hAnsi="Century Gothic"/>
        </w:rPr>
      </w:pPr>
      <w:r w:rsidRPr="004B4E70">
        <w:rPr>
          <w:rFonts w:ascii="Century Gothic" w:hAnsi="Century Gothic" w:cs="CIDFont+F4"/>
        </w:rPr>
        <w:t xml:space="preserve">Le Forze di Sicurezza della TRIPOLITANIA e della CIRENAICA continuano ad essere impegnate in operazioni di contrasto alla </w:t>
      </w:r>
      <w:r w:rsidRPr="004B4E70">
        <w:rPr>
          <w:rFonts w:ascii="Century Gothic" w:hAnsi="Century Gothic"/>
        </w:rPr>
        <w:t>criminalità</w:t>
      </w:r>
      <w:r>
        <w:rPr>
          <w:rStyle w:val="Rimandonotaapidipagina"/>
          <w:rFonts w:ascii="Century Gothic" w:hAnsi="Century Gothic"/>
        </w:rPr>
        <w:footnoteReference w:id="1"/>
      </w:r>
      <w:r w:rsidRPr="004B4E70">
        <w:rPr>
          <w:rFonts w:ascii="Century Gothic" w:hAnsi="Century Gothic"/>
        </w:rPr>
        <w:t xml:space="preserve"> ed a difesa dei confini del Paese.</w:t>
      </w:r>
    </w:p>
    <w:p w14:paraId="1A9E7741" w14:textId="77777777" w:rsidR="00635337" w:rsidRPr="004B4E70" w:rsidRDefault="00635337" w:rsidP="00635337">
      <w:pPr>
        <w:shd w:val="clear" w:color="auto" w:fill="FFFFFF"/>
        <w:spacing w:after="0" w:line="360" w:lineRule="auto"/>
        <w:ind w:right="281"/>
        <w:jc w:val="both"/>
        <w:rPr>
          <w:rFonts w:ascii="Century Gothic" w:hAnsi="Century Gothic"/>
        </w:rPr>
      </w:pPr>
      <w:r w:rsidRPr="004B4E70">
        <w:rPr>
          <w:rFonts w:ascii="Century Gothic" w:hAnsi="Century Gothic"/>
        </w:rPr>
        <w:t xml:space="preserve">Unità del </w:t>
      </w:r>
      <w:r w:rsidRPr="004B4E70">
        <w:rPr>
          <w:rFonts w:ascii="Century Gothic" w:hAnsi="Century Gothic"/>
          <w:i/>
          <w:iCs/>
        </w:rPr>
        <w:t>Libya National Army</w:t>
      </w:r>
      <w:r w:rsidRPr="004B4E70">
        <w:rPr>
          <w:rFonts w:ascii="Century Gothic" w:hAnsi="Century Gothic"/>
        </w:rPr>
        <w:t xml:space="preserve"> (LNA di Khalifa HAFTAR) sono schierate a sud-est della LIBIA, regione del FEZZAN, per rafforzare l'area di confine tra LIBIA e NIGER a seguito del colpo di stato in corso nel Paese</w:t>
      </w:r>
      <w:r>
        <w:rPr>
          <w:rFonts w:ascii="Century Gothic" w:hAnsi="Century Gothic"/>
        </w:rPr>
        <w:t xml:space="preserve"> e controlli </w:t>
      </w:r>
      <w:r w:rsidRPr="004B4E70">
        <w:rPr>
          <w:rFonts w:ascii="Century Gothic" w:hAnsi="Century Gothic"/>
        </w:rPr>
        <w:t>di sicurezza nelle aree confinarie libico-ciadian</w:t>
      </w:r>
      <w:r>
        <w:rPr>
          <w:rFonts w:ascii="Century Gothic" w:hAnsi="Century Gothic"/>
        </w:rPr>
        <w:t>e</w:t>
      </w:r>
      <w:r w:rsidRPr="004B4E70">
        <w:rPr>
          <w:rFonts w:ascii="Century Gothic" w:hAnsi="Century Gothic"/>
        </w:rPr>
        <w:t xml:space="preserve"> con l’impiego della 128</w:t>
      </w:r>
      <w:r w:rsidRPr="004B4E70">
        <w:rPr>
          <w:rFonts w:ascii="Century Gothic" w:hAnsi="Century Gothic"/>
          <w:vertAlign w:val="superscript"/>
        </w:rPr>
        <w:t>a</w:t>
      </w:r>
      <w:r w:rsidRPr="004B4E70">
        <w:rPr>
          <w:rFonts w:ascii="Century Gothic" w:hAnsi="Century Gothic"/>
        </w:rPr>
        <w:t xml:space="preserve"> Brigata Rinforzata</w:t>
      </w:r>
      <w:r>
        <w:rPr>
          <w:rFonts w:ascii="Century Gothic" w:hAnsi="Century Gothic"/>
        </w:rPr>
        <w:t xml:space="preserve"> (LNA)</w:t>
      </w:r>
      <w:r w:rsidRPr="004B4E70">
        <w:rPr>
          <w:rFonts w:ascii="Century Gothic" w:hAnsi="Century Gothic"/>
        </w:rPr>
        <w:t>.</w:t>
      </w:r>
    </w:p>
    <w:p w14:paraId="4C51A7F8" w14:textId="77777777" w:rsidR="00635337" w:rsidRPr="004B4E70" w:rsidRDefault="00635337" w:rsidP="00635337">
      <w:pPr>
        <w:shd w:val="clear" w:color="auto" w:fill="FFFFFF"/>
        <w:spacing w:after="0" w:line="360" w:lineRule="auto"/>
        <w:ind w:right="281"/>
        <w:jc w:val="both"/>
        <w:rPr>
          <w:rFonts w:ascii="Century Gothic" w:hAnsi="Century Gothic"/>
        </w:rPr>
      </w:pPr>
      <w:r>
        <w:rPr>
          <w:rFonts w:ascii="Century Gothic" w:hAnsi="Century Gothic"/>
        </w:rPr>
        <w:t>Le unità/agenzie di sicurezza sono impegnate ne</w:t>
      </w:r>
      <w:r w:rsidRPr="004B4E70">
        <w:rPr>
          <w:rFonts w:ascii="Century Gothic" w:hAnsi="Century Gothic"/>
        </w:rPr>
        <w:t xml:space="preserve">i controlli nelle zone di confine con la TUNISIA, sulla rotta del contrabbando e dei trafficanti di esseri umani conducendo anche operazioni di salvataggio di migranti. </w:t>
      </w:r>
      <w:r>
        <w:rPr>
          <w:rFonts w:ascii="Century Gothic" w:hAnsi="Century Gothic"/>
        </w:rPr>
        <w:t>Nelle ultime settimane nell’area di</w:t>
      </w:r>
      <w:r w:rsidRPr="004B4E70">
        <w:rPr>
          <w:rFonts w:ascii="Century Gothic" w:hAnsi="Century Gothic"/>
        </w:rPr>
        <w:t xml:space="preserve"> confine libico-tunisino </w:t>
      </w:r>
      <w:r>
        <w:rPr>
          <w:rFonts w:ascii="Century Gothic" w:hAnsi="Century Gothic"/>
        </w:rPr>
        <w:t xml:space="preserve">si è registrato un incremento del </w:t>
      </w:r>
      <w:r w:rsidRPr="004B4E70">
        <w:rPr>
          <w:rFonts w:ascii="Century Gothic" w:hAnsi="Century Gothic"/>
        </w:rPr>
        <w:t xml:space="preserve">numero di migranti che </w:t>
      </w:r>
      <w:r>
        <w:rPr>
          <w:rFonts w:ascii="Century Gothic" w:hAnsi="Century Gothic"/>
        </w:rPr>
        <w:t xml:space="preserve">hanno cercato </w:t>
      </w:r>
      <w:r w:rsidRPr="004B4E70">
        <w:rPr>
          <w:rFonts w:ascii="Century Gothic" w:hAnsi="Century Gothic"/>
        </w:rPr>
        <w:t xml:space="preserve">di attraversare il confine con la LIBIA diretti in EUROPA. </w:t>
      </w:r>
      <w:r>
        <w:rPr>
          <w:rFonts w:ascii="Century Gothic" w:hAnsi="Century Gothic"/>
        </w:rPr>
        <w:t xml:space="preserve">Giornalieri sono stati i ritrovamenti di immigranti deceduti nelle aree desertiche in prossimità dei confini. Fenomeno che è stato attenuato dagli accordi tra i Governo Tunisino e Libico e la messa </w:t>
      </w:r>
      <w:r w:rsidRPr="00AA7654">
        <w:rPr>
          <w:rFonts w:ascii="Century Gothic" w:hAnsi="Century Gothic"/>
        </w:rPr>
        <w:t xml:space="preserve">in sicurezza </w:t>
      </w:r>
      <w:r>
        <w:rPr>
          <w:rFonts w:ascii="Century Gothic" w:hAnsi="Century Gothic"/>
        </w:rPr>
        <w:t>del</w:t>
      </w:r>
      <w:r w:rsidRPr="00AA7654">
        <w:rPr>
          <w:rFonts w:ascii="Century Gothic" w:hAnsi="Century Gothic"/>
        </w:rPr>
        <w:t xml:space="preserve">la striscia di confine </w:t>
      </w:r>
      <w:r>
        <w:rPr>
          <w:rFonts w:ascii="Century Gothic" w:hAnsi="Century Gothic"/>
        </w:rPr>
        <w:t>dalle a</w:t>
      </w:r>
      <w:r w:rsidRPr="00AA7654">
        <w:rPr>
          <w:rFonts w:ascii="Century Gothic" w:hAnsi="Century Gothic"/>
        </w:rPr>
        <w:t xml:space="preserve">genzie incaricate di entrambi i Paesi </w:t>
      </w:r>
      <w:r>
        <w:rPr>
          <w:rFonts w:ascii="Century Gothic" w:hAnsi="Century Gothic"/>
        </w:rPr>
        <w:t xml:space="preserve">che </w:t>
      </w:r>
      <w:r w:rsidRPr="00AA7654">
        <w:rPr>
          <w:rFonts w:ascii="Century Gothic" w:hAnsi="Century Gothic"/>
        </w:rPr>
        <w:t>svolg</w:t>
      </w:r>
      <w:r>
        <w:rPr>
          <w:rFonts w:ascii="Century Gothic" w:hAnsi="Century Gothic"/>
        </w:rPr>
        <w:t>on</w:t>
      </w:r>
      <w:r w:rsidRPr="00AA7654">
        <w:rPr>
          <w:rFonts w:ascii="Century Gothic" w:hAnsi="Century Gothic"/>
        </w:rPr>
        <w:t xml:space="preserve">o compiti </w:t>
      </w:r>
      <w:r>
        <w:rPr>
          <w:rFonts w:ascii="Century Gothic" w:hAnsi="Century Gothic"/>
        </w:rPr>
        <w:t>di</w:t>
      </w:r>
      <w:r w:rsidRPr="00AA7654">
        <w:rPr>
          <w:rFonts w:ascii="Century Gothic" w:hAnsi="Century Gothic"/>
        </w:rPr>
        <w:t xml:space="preserve"> monitoraggio e coordinamento congiunt</w:t>
      </w:r>
      <w:r>
        <w:rPr>
          <w:rFonts w:ascii="Century Gothic" w:hAnsi="Century Gothic"/>
        </w:rPr>
        <w:t xml:space="preserve">o. </w:t>
      </w:r>
    </w:p>
    <w:p w14:paraId="73A5A723" w14:textId="77777777" w:rsidR="00635337" w:rsidRDefault="00635337" w:rsidP="00635337">
      <w:pPr>
        <w:shd w:val="clear" w:color="auto" w:fill="FFFFFF"/>
        <w:spacing w:after="0" w:line="360" w:lineRule="auto"/>
        <w:ind w:right="281"/>
        <w:jc w:val="both"/>
        <w:rPr>
          <w:rFonts w:ascii="Century Gothic" w:hAnsi="Century Gothic"/>
        </w:rPr>
      </w:pPr>
      <w:r w:rsidRPr="00D055E0">
        <w:rPr>
          <w:rFonts w:ascii="Century Gothic" w:hAnsi="Century Gothic"/>
        </w:rPr>
        <w:t>La TRIPOLITANIA continua a presentare un ambiente operativo relativamente permissivo con aree soggette a possibili innalzamenti della tensione che risultano essere: AL-ZAWIYA, AL-AZIZIYAH, GHARYAN, distretto della MONTAGNA OCCIDENTALE</w:t>
      </w:r>
      <w:r>
        <w:rPr>
          <w:rFonts w:ascii="Century Gothic" w:hAnsi="Century Gothic"/>
        </w:rPr>
        <w:t>,</w:t>
      </w:r>
      <w:r w:rsidRPr="00D055E0">
        <w:rPr>
          <w:rFonts w:ascii="Century Gothic" w:hAnsi="Century Gothic"/>
        </w:rPr>
        <w:t xml:space="preserve"> l’area di WARSHEFANA</w:t>
      </w:r>
      <w:r>
        <w:rPr>
          <w:rFonts w:ascii="Century Gothic" w:hAnsi="Century Gothic"/>
        </w:rPr>
        <w:t xml:space="preserve"> e non ultima l’area della Capitale. TRIPOLI è stata interessata da:</w:t>
      </w:r>
    </w:p>
    <w:p w14:paraId="2962AE85" w14:textId="77777777" w:rsidR="00635337" w:rsidRPr="00635337" w:rsidRDefault="00635337" w:rsidP="00A75CAB">
      <w:pPr>
        <w:pStyle w:val="Paragrafoelenco"/>
        <w:numPr>
          <w:ilvl w:val="0"/>
          <w:numId w:val="2"/>
        </w:numPr>
        <w:shd w:val="clear" w:color="auto" w:fill="FFFFFF"/>
        <w:spacing w:after="0" w:line="360" w:lineRule="auto"/>
        <w:jc w:val="both"/>
        <w:rPr>
          <w:rFonts w:ascii="Century Gothic" w:hAnsi="Century Gothic"/>
          <w:sz w:val="24"/>
          <w:szCs w:val="24"/>
        </w:rPr>
      </w:pPr>
      <w:r>
        <w:rPr>
          <w:rFonts w:ascii="Century Gothic" w:hAnsi="Century Gothic" w:cs="Calibri"/>
        </w:rPr>
        <w:lastRenderedPageBreak/>
        <w:t xml:space="preserve">Nel corso delle prime ore pomeridiane del 14 agosto 2023, secondo alcune indicazioni in corso di approfondimento e verifica, il comandante della Brigata 444, Gen. Mahmoud HAMZA è stato arrestato (termini giornalistici riportano rapito) all’aeroporto di MITIGA mentre si imbarcava per un volo diretto a MISURATA. L’arresto è stato effettuato da unità della </w:t>
      </w:r>
      <w:r>
        <w:rPr>
          <w:rFonts w:ascii="Century Gothic" w:hAnsi="Century Gothic" w:cs="Calibri"/>
          <w:i/>
          <w:iCs/>
        </w:rPr>
        <w:t xml:space="preserve">Special </w:t>
      </w:r>
      <w:proofErr w:type="spellStart"/>
      <w:r>
        <w:rPr>
          <w:rFonts w:ascii="Century Gothic" w:hAnsi="Century Gothic" w:cs="Calibri"/>
          <w:i/>
          <w:iCs/>
        </w:rPr>
        <w:t>Deterrence</w:t>
      </w:r>
      <w:proofErr w:type="spellEnd"/>
      <w:r>
        <w:rPr>
          <w:rFonts w:ascii="Century Gothic" w:hAnsi="Century Gothic" w:cs="Calibri"/>
          <w:i/>
          <w:iCs/>
        </w:rPr>
        <w:t xml:space="preserve"> Force</w:t>
      </w:r>
      <w:r>
        <w:rPr>
          <w:rFonts w:ascii="Century Gothic" w:hAnsi="Century Gothic" w:cs="Calibri"/>
        </w:rPr>
        <w:t xml:space="preserve"> – RADAA, su ordine di Ali AL-JABRI</w:t>
      </w:r>
    </w:p>
    <w:p w14:paraId="7D460597" w14:textId="436CF340" w:rsidR="00635337" w:rsidRDefault="00635337" w:rsidP="00FD381C">
      <w:pPr>
        <w:pStyle w:val="Paragrafoelenco"/>
        <w:shd w:val="clear" w:color="auto" w:fill="FFFFFF"/>
        <w:spacing w:after="0" w:line="360" w:lineRule="auto"/>
        <w:ind w:left="644"/>
        <w:jc w:val="both"/>
        <w:rPr>
          <w:rFonts w:ascii="Century Gothic" w:hAnsi="Century Gothic"/>
          <w:sz w:val="24"/>
          <w:szCs w:val="24"/>
        </w:rPr>
      </w:pPr>
    </w:p>
    <w:p w14:paraId="7495C17D" w14:textId="77777777" w:rsidR="00FD381C" w:rsidRDefault="00FD381C" w:rsidP="00FD381C">
      <w:pPr>
        <w:tabs>
          <w:tab w:val="left" w:pos="-22466"/>
        </w:tabs>
        <w:spacing w:after="0" w:line="360" w:lineRule="auto"/>
        <w:ind w:right="423"/>
        <w:jc w:val="both"/>
        <w:rPr>
          <w:rFonts w:ascii="Century Gothic" w:hAnsi="Century Gothic" w:cs="Calibri"/>
        </w:rPr>
      </w:pPr>
      <w:r>
        <w:rPr>
          <w:rFonts w:ascii="Century Gothic" w:hAnsi="Century Gothic" w:cs="Calibri"/>
        </w:rPr>
        <w:t>Sono state evacuate le sedi pubbliche e chiusi i negozi ad AIN ZARA E SALAH AL-DIN a seguito di mobilitazioni delle unità 111^ Brigata, della Brigata 444. Rinforzi di unità di Polizia Giudiziaria sono stati notati nell’area della prigione di AL-JADIDA (HQ della PG).</w:t>
      </w:r>
    </w:p>
    <w:p w14:paraId="302CDD42" w14:textId="77777777" w:rsidR="00FD381C" w:rsidRDefault="00FD381C" w:rsidP="00FD381C">
      <w:pPr>
        <w:tabs>
          <w:tab w:val="left" w:pos="-22466"/>
        </w:tabs>
        <w:spacing w:after="0" w:line="360" w:lineRule="auto"/>
        <w:ind w:right="423"/>
        <w:jc w:val="both"/>
        <w:rPr>
          <w:rFonts w:ascii="Century Gothic" w:hAnsi="Century Gothic" w:cs="Calibri"/>
        </w:rPr>
      </w:pPr>
      <w:r>
        <w:rPr>
          <w:rFonts w:ascii="Century Gothic" w:hAnsi="Century Gothic" w:cs="Calibri"/>
        </w:rPr>
        <w:t>Secondo fonti non confermate, durante una riunione di alcuni comandanti militari a TRIPOLI, era stata sottolineata la necessità di sostituire Mahmoud HAMZAH dalla posizione di comandante.</w:t>
      </w:r>
    </w:p>
    <w:p w14:paraId="45BCAD99" w14:textId="725CAE21" w:rsidR="00FD381C" w:rsidRDefault="00FD381C" w:rsidP="00FD381C">
      <w:pPr>
        <w:pStyle w:val="Paragrafoelenco"/>
        <w:shd w:val="clear" w:color="auto" w:fill="FFFFFF"/>
        <w:spacing w:after="0" w:line="360" w:lineRule="auto"/>
        <w:ind w:left="644"/>
        <w:jc w:val="both"/>
        <w:rPr>
          <w:rFonts w:ascii="Century Gothic" w:hAnsi="Century Gothic"/>
          <w:sz w:val="24"/>
          <w:szCs w:val="24"/>
        </w:rPr>
      </w:pPr>
    </w:p>
    <w:p w14:paraId="6891293D" w14:textId="23E7EFBD" w:rsidR="00FD381C" w:rsidRDefault="00FD381C" w:rsidP="00FD381C">
      <w:pPr>
        <w:pStyle w:val="Paragrafoelenco"/>
        <w:shd w:val="clear" w:color="auto" w:fill="FFFFFF"/>
        <w:spacing w:after="0" w:line="360" w:lineRule="auto"/>
        <w:ind w:left="644"/>
        <w:jc w:val="both"/>
        <w:rPr>
          <w:rFonts w:ascii="Century Gothic" w:hAnsi="Century Gothic"/>
          <w:sz w:val="24"/>
          <w:szCs w:val="24"/>
        </w:rPr>
      </w:pPr>
    </w:p>
    <w:p w14:paraId="13E4F2B1" w14:textId="513F1949" w:rsidR="00FD381C" w:rsidRDefault="00FD381C" w:rsidP="00FD381C">
      <w:pPr>
        <w:pStyle w:val="Paragrafoelenco"/>
        <w:shd w:val="clear" w:color="auto" w:fill="FFFFFF"/>
        <w:spacing w:after="0" w:line="360" w:lineRule="auto"/>
        <w:ind w:left="644"/>
        <w:jc w:val="both"/>
        <w:rPr>
          <w:rFonts w:ascii="Century Gothic" w:hAnsi="Century Gothic"/>
          <w:sz w:val="24"/>
          <w:szCs w:val="24"/>
        </w:rPr>
      </w:pPr>
    </w:p>
    <w:p w14:paraId="7CB9ED11" w14:textId="03C8A66E" w:rsidR="00FD381C" w:rsidRDefault="00FD381C" w:rsidP="00FD381C">
      <w:pPr>
        <w:pStyle w:val="Paragrafoelenco"/>
        <w:shd w:val="clear" w:color="auto" w:fill="FFFFFF"/>
        <w:spacing w:after="0" w:line="360" w:lineRule="auto"/>
        <w:ind w:left="644"/>
        <w:jc w:val="both"/>
        <w:rPr>
          <w:rFonts w:ascii="Century Gothic" w:hAnsi="Century Gothic"/>
          <w:sz w:val="24"/>
          <w:szCs w:val="24"/>
        </w:rPr>
      </w:pPr>
    </w:p>
    <w:p w14:paraId="43A58A2D" w14:textId="77777777" w:rsidR="00FD381C" w:rsidRPr="00635337" w:rsidRDefault="00FD381C" w:rsidP="00FD381C">
      <w:pPr>
        <w:pStyle w:val="Paragrafoelenco"/>
        <w:shd w:val="clear" w:color="auto" w:fill="FFFFFF"/>
        <w:spacing w:after="0" w:line="360" w:lineRule="auto"/>
        <w:ind w:left="644"/>
        <w:jc w:val="both"/>
        <w:rPr>
          <w:rFonts w:ascii="Century Gothic" w:hAnsi="Century Gothic"/>
          <w:sz w:val="24"/>
          <w:szCs w:val="24"/>
        </w:rPr>
      </w:pPr>
    </w:p>
    <w:p w14:paraId="08412A68" w14:textId="77777777" w:rsidR="00635337" w:rsidRPr="00635337" w:rsidRDefault="00635337" w:rsidP="00A75CAB">
      <w:pPr>
        <w:pStyle w:val="Paragrafoelenco"/>
        <w:numPr>
          <w:ilvl w:val="0"/>
          <w:numId w:val="2"/>
        </w:numPr>
        <w:shd w:val="clear" w:color="auto" w:fill="FFFFFF"/>
        <w:spacing w:after="0" w:line="360" w:lineRule="auto"/>
        <w:jc w:val="both"/>
        <w:rPr>
          <w:rFonts w:ascii="Century Gothic" w:hAnsi="Century Gothic"/>
          <w:sz w:val="24"/>
          <w:szCs w:val="24"/>
        </w:rPr>
      </w:pPr>
    </w:p>
    <w:p w14:paraId="13E970F3" w14:textId="77777777" w:rsidR="00635337" w:rsidRPr="00635337" w:rsidRDefault="00635337" w:rsidP="00A75CAB">
      <w:pPr>
        <w:pStyle w:val="Paragrafoelenco"/>
        <w:numPr>
          <w:ilvl w:val="0"/>
          <w:numId w:val="2"/>
        </w:numPr>
        <w:shd w:val="clear" w:color="auto" w:fill="FFFFFF"/>
        <w:spacing w:after="0" w:line="360" w:lineRule="auto"/>
        <w:jc w:val="both"/>
        <w:rPr>
          <w:rFonts w:ascii="Century Gothic" w:hAnsi="Century Gothic"/>
          <w:sz w:val="24"/>
          <w:szCs w:val="24"/>
        </w:rPr>
      </w:pPr>
    </w:p>
    <w:p w14:paraId="4EE3C6D2" w14:textId="77777777" w:rsidR="00635337" w:rsidRPr="00635337" w:rsidRDefault="00635337" w:rsidP="00A75CAB">
      <w:pPr>
        <w:pStyle w:val="Paragrafoelenco"/>
        <w:numPr>
          <w:ilvl w:val="0"/>
          <w:numId w:val="2"/>
        </w:numPr>
        <w:shd w:val="clear" w:color="auto" w:fill="FFFFFF"/>
        <w:spacing w:after="0" w:line="360" w:lineRule="auto"/>
        <w:jc w:val="both"/>
        <w:rPr>
          <w:rFonts w:ascii="Century Gothic" w:hAnsi="Century Gothic"/>
          <w:sz w:val="24"/>
          <w:szCs w:val="24"/>
        </w:rPr>
      </w:pPr>
    </w:p>
    <w:p w14:paraId="6427EEF7" w14:textId="77777777" w:rsidR="00635337" w:rsidRPr="00635337" w:rsidRDefault="00635337" w:rsidP="00A75CAB">
      <w:pPr>
        <w:pStyle w:val="Paragrafoelenco"/>
        <w:numPr>
          <w:ilvl w:val="0"/>
          <w:numId w:val="2"/>
        </w:numPr>
        <w:shd w:val="clear" w:color="auto" w:fill="FFFFFF"/>
        <w:spacing w:after="0" w:line="360" w:lineRule="auto"/>
        <w:jc w:val="both"/>
        <w:rPr>
          <w:rFonts w:ascii="Century Gothic" w:hAnsi="Century Gothic"/>
          <w:sz w:val="24"/>
          <w:szCs w:val="24"/>
        </w:rPr>
      </w:pPr>
    </w:p>
    <w:p w14:paraId="17B864B1" w14:textId="77777777" w:rsidR="00635337" w:rsidRPr="00635337" w:rsidRDefault="00635337" w:rsidP="00A75CAB">
      <w:pPr>
        <w:pStyle w:val="Paragrafoelenco"/>
        <w:numPr>
          <w:ilvl w:val="0"/>
          <w:numId w:val="2"/>
        </w:numPr>
        <w:shd w:val="clear" w:color="auto" w:fill="FFFFFF"/>
        <w:spacing w:after="0" w:line="360" w:lineRule="auto"/>
        <w:jc w:val="both"/>
        <w:rPr>
          <w:rFonts w:ascii="Century Gothic" w:hAnsi="Century Gothic"/>
          <w:sz w:val="24"/>
          <w:szCs w:val="24"/>
        </w:rPr>
      </w:pPr>
    </w:p>
    <w:p w14:paraId="0E1818D7" w14:textId="6B07724A" w:rsidR="00A75CAB" w:rsidRDefault="00A75CAB" w:rsidP="00A75CAB">
      <w:pPr>
        <w:pStyle w:val="Paragrafoelenco"/>
        <w:numPr>
          <w:ilvl w:val="0"/>
          <w:numId w:val="2"/>
        </w:numPr>
        <w:shd w:val="clear" w:color="auto" w:fill="FFFFFF"/>
        <w:spacing w:after="0" w:line="360" w:lineRule="auto"/>
        <w:jc w:val="both"/>
        <w:rPr>
          <w:rFonts w:ascii="Century Gothic" w:hAnsi="Century Gothic"/>
          <w:sz w:val="24"/>
          <w:szCs w:val="24"/>
        </w:rPr>
      </w:pPr>
      <w:r>
        <w:rPr>
          <w:rFonts w:ascii="Century Gothic" w:hAnsi="Century Gothic"/>
          <w:sz w:val="24"/>
          <w:szCs w:val="24"/>
        </w:rPr>
        <w:t>AL-ZAWIYA:</w:t>
      </w:r>
    </w:p>
    <w:p w14:paraId="4D7D9C9D" w14:textId="77777777" w:rsidR="00A75CAB" w:rsidRDefault="00A75CAB" w:rsidP="00A75CAB">
      <w:pPr>
        <w:pStyle w:val="Paragrafoelenco"/>
        <w:numPr>
          <w:ilvl w:val="0"/>
          <w:numId w:val="3"/>
        </w:numPr>
        <w:shd w:val="clear" w:color="auto" w:fill="FFFFFF"/>
        <w:spacing w:after="0" w:line="360" w:lineRule="auto"/>
        <w:jc w:val="both"/>
        <w:rPr>
          <w:rFonts w:ascii="Century Gothic" w:hAnsi="Century Gothic"/>
          <w:sz w:val="24"/>
          <w:szCs w:val="24"/>
        </w:rPr>
      </w:pPr>
      <w:r>
        <w:rPr>
          <w:rFonts w:ascii="Century Gothic" w:hAnsi="Century Gothic"/>
          <w:sz w:val="24"/>
          <w:szCs w:val="24"/>
        </w:rPr>
        <w:t>mandati di cattura per 39 elementi della criminalità accusati di torture e rapimenti nell’ambito del contrabbando di essere umani e reati vari;</w:t>
      </w:r>
    </w:p>
    <w:p w14:paraId="66EE08D3" w14:textId="77777777" w:rsidR="00A75CAB" w:rsidRDefault="00A75CAB" w:rsidP="00A75CAB">
      <w:pPr>
        <w:pStyle w:val="Paragrafoelenco"/>
        <w:numPr>
          <w:ilvl w:val="0"/>
          <w:numId w:val="3"/>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tensione tra le unità del GUN e comandanti militari/istituzioni locali per operazioni anti contrabbando e di arresto di leader di organizzazioni criminali; </w:t>
      </w:r>
    </w:p>
    <w:p w14:paraId="54D58608" w14:textId="77777777" w:rsidR="00A75CAB" w:rsidRDefault="00A75CAB" w:rsidP="00A75CAB">
      <w:pPr>
        <w:pStyle w:val="Paragrafoelenco"/>
        <w:numPr>
          <w:ilvl w:val="0"/>
          <w:numId w:val="3"/>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Città interessata da proteste organizzate contro il governo DBEIBAH. </w:t>
      </w:r>
    </w:p>
    <w:p w14:paraId="1E83B2A8" w14:textId="77777777" w:rsidR="00A75CAB" w:rsidRDefault="00A75CAB" w:rsidP="00A75CAB">
      <w:pPr>
        <w:pStyle w:val="Paragrafoelenco"/>
        <w:numPr>
          <w:ilvl w:val="0"/>
          <w:numId w:val="2"/>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AL-AZIZIYAH: dove si è assistito ad un aumento della tensione tra le unità della Regione Militare Centrale (RMC) e unità del GUN stanziate a TRIPOLI </w:t>
      </w:r>
      <w:r>
        <w:rPr>
          <w:rFonts w:ascii="Century Gothic" w:hAnsi="Century Gothic"/>
          <w:sz w:val="24"/>
          <w:szCs w:val="24"/>
        </w:rPr>
        <w:lastRenderedPageBreak/>
        <w:t>per il blocco delle rotabili tra TRIPOLI ed AL-AZIZIYAH ordinato dal Comandate del RMC, JUWAILI;</w:t>
      </w:r>
    </w:p>
    <w:p w14:paraId="3D699107" w14:textId="77777777" w:rsidR="00A75CAB" w:rsidRDefault="00A75CAB" w:rsidP="00A75CAB">
      <w:pPr>
        <w:pStyle w:val="Paragrafoelenco"/>
        <w:numPr>
          <w:ilvl w:val="0"/>
          <w:numId w:val="2"/>
        </w:numPr>
        <w:shd w:val="clear" w:color="auto" w:fill="FFFFFF"/>
        <w:spacing w:after="0" w:line="360" w:lineRule="auto"/>
        <w:jc w:val="both"/>
        <w:rPr>
          <w:rFonts w:ascii="Century Gothic" w:hAnsi="Century Gothic"/>
          <w:sz w:val="24"/>
          <w:szCs w:val="24"/>
        </w:rPr>
      </w:pPr>
      <w:r>
        <w:rPr>
          <w:rFonts w:ascii="Century Gothic" w:hAnsi="Century Gothic"/>
          <w:sz w:val="24"/>
          <w:szCs w:val="24"/>
        </w:rPr>
        <w:t>GHARYAN: testimone di uno scontro a fuoco tra unità militari presenti in città che hanno causato 2 morti e 2 feriti tra i miliziani;</w:t>
      </w:r>
    </w:p>
    <w:p w14:paraId="15ED83A6" w14:textId="77777777" w:rsidR="00A75CAB" w:rsidRDefault="00A75CAB" w:rsidP="00A75CAB">
      <w:pPr>
        <w:pStyle w:val="Paragrafoelenco"/>
        <w:numPr>
          <w:ilvl w:val="0"/>
          <w:numId w:val="2"/>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Distretto della MONTAGNA OCCIDENTALE: tensioni sono scoppiate nelle montagne nella prima settimana di luglio, dopo che il Ministro degli Interni del GNU, Emad TARABULSI, ha cercato di ristrutturare la sicurezza dell'area accorpando le 9 Direzioni di sicurezza in solo 3 direzioni. Gli </w:t>
      </w:r>
      <w:proofErr w:type="spellStart"/>
      <w:r>
        <w:rPr>
          <w:rFonts w:ascii="Century Gothic" w:hAnsi="Century Gothic"/>
          <w:sz w:val="24"/>
          <w:szCs w:val="24"/>
        </w:rPr>
        <w:t>Amazigh</w:t>
      </w:r>
      <w:proofErr w:type="spellEnd"/>
      <w:r>
        <w:rPr>
          <w:rFonts w:ascii="Century Gothic" w:hAnsi="Century Gothic"/>
          <w:sz w:val="24"/>
          <w:szCs w:val="24"/>
        </w:rPr>
        <w:t xml:space="preserve"> (berberi), particolarmente indignati, hanno ritenuto la decisione del Ministro (proveniente da ZINTAN), un'area storicamente antagonista alle tribù </w:t>
      </w:r>
      <w:proofErr w:type="spellStart"/>
      <w:r>
        <w:rPr>
          <w:rFonts w:ascii="Century Gothic" w:hAnsi="Century Gothic"/>
          <w:sz w:val="24"/>
          <w:szCs w:val="24"/>
        </w:rPr>
        <w:t>Amazigh</w:t>
      </w:r>
      <w:proofErr w:type="spellEnd"/>
      <w:r>
        <w:rPr>
          <w:rFonts w:ascii="Century Gothic" w:hAnsi="Century Gothic"/>
          <w:sz w:val="24"/>
          <w:szCs w:val="24"/>
        </w:rPr>
        <w:t xml:space="preserve"> locali, deliberata per indebolire il controllo degli </w:t>
      </w:r>
      <w:proofErr w:type="spellStart"/>
      <w:r>
        <w:rPr>
          <w:rFonts w:ascii="Century Gothic" w:hAnsi="Century Gothic"/>
          <w:sz w:val="24"/>
          <w:szCs w:val="24"/>
        </w:rPr>
        <w:t>Amazigh</w:t>
      </w:r>
      <w:proofErr w:type="spellEnd"/>
      <w:r>
        <w:rPr>
          <w:rFonts w:ascii="Century Gothic" w:hAnsi="Century Gothic"/>
          <w:sz w:val="24"/>
          <w:szCs w:val="24"/>
        </w:rPr>
        <w:t>.</w:t>
      </w:r>
    </w:p>
    <w:p w14:paraId="53E0436E" w14:textId="77777777" w:rsidR="00A75CAB" w:rsidRDefault="00A75CAB" w:rsidP="00A75CAB">
      <w:pPr>
        <w:pStyle w:val="Paragrafoelenco"/>
        <w:numPr>
          <w:ilvl w:val="0"/>
          <w:numId w:val="2"/>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l’area di WARSHEFANA: </w:t>
      </w:r>
    </w:p>
    <w:p w14:paraId="5D87C1C7" w14:textId="77777777" w:rsidR="00A75CAB" w:rsidRDefault="00A75CAB" w:rsidP="00A75CAB">
      <w:pPr>
        <w:pStyle w:val="Paragrafoelenco"/>
        <w:numPr>
          <w:ilvl w:val="0"/>
          <w:numId w:val="3"/>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coordinamento tra forze di sicurezza locali, le autorità ministeriali, le agenzie governative che hanno in parte mitigato i contrasti, e diminuito tensioni nell’area tra le istituzioni e popolazione locale rappresentata nel consesso da anziani e dignitari; </w:t>
      </w:r>
    </w:p>
    <w:p w14:paraId="3C21E1EF" w14:textId="77777777" w:rsidR="00A75CAB" w:rsidRDefault="00A75CAB" w:rsidP="00A75CAB">
      <w:pPr>
        <w:pStyle w:val="Paragrafoelenco"/>
        <w:numPr>
          <w:ilvl w:val="0"/>
          <w:numId w:val="3"/>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operazioni delle Unità di sicurezza del GUN condotte contro la Brigata 777 comandata da </w:t>
      </w:r>
      <w:proofErr w:type="spellStart"/>
      <w:r>
        <w:rPr>
          <w:rFonts w:ascii="Century Gothic" w:hAnsi="Century Gothic"/>
          <w:sz w:val="24"/>
          <w:szCs w:val="24"/>
        </w:rPr>
        <w:t>Haithman</w:t>
      </w:r>
      <w:proofErr w:type="spellEnd"/>
      <w:r>
        <w:rPr>
          <w:rFonts w:ascii="Century Gothic" w:hAnsi="Century Gothic"/>
          <w:sz w:val="24"/>
          <w:szCs w:val="24"/>
        </w:rPr>
        <w:t xml:space="preserve"> AL-TAJOURI per limitarne l’attivismo e la libertà di movimento. La 777 è stata costretta a muovere dall'area di ABU SURA nell'area di AL-ZAHRA dopo l’iniziativa delle Unità di sicurezza.</w:t>
      </w:r>
    </w:p>
    <w:p w14:paraId="7AE56437" w14:textId="77777777" w:rsidR="00A75CAB" w:rsidRDefault="00A75CAB" w:rsidP="00A75CAB">
      <w:pPr>
        <w:pStyle w:val="Default"/>
        <w:numPr>
          <w:ilvl w:val="0"/>
          <w:numId w:val="4"/>
        </w:numPr>
        <w:spacing w:line="360" w:lineRule="auto"/>
        <w:ind w:left="567" w:hanging="283"/>
        <w:jc w:val="both"/>
        <w:rPr>
          <w:rFonts w:ascii="Century Gothic" w:hAnsi="Century Gothic"/>
          <w:b/>
          <w:bCs/>
          <w:color w:val="00000F"/>
        </w:rPr>
      </w:pPr>
      <w:r>
        <w:rPr>
          <w:rFonts w:ascii="Century Gothic" w:hAnsi="Century Gothic"/>
          <w:b/>
          <w:bCs/>
          <w:color w:val="00000F"/>
        </w:rPr>
        <w:t>(INCC) TRIPOLI</w:t>
      </w:r>
    </w:p>
    <w:p w14:paraId="4D427C61" w14:textId="77777777" w:rsidR="00A75CAB" w:rsidRDefault="00A75CAB" w:rsidP="00A75CAB">
      <w:pPr>
        <w:pStyle w:val="Default"/>
        <w:spacing w:line="360" w:lineRule="auto"/>
        <w:ind w:left="567"/>
        <w:jc w:val="both"/>
        <w:rPr>
          <w:rFonts w:ascii="Century Gothic" w:hAnsi="Century Gothic" w:cs="Arial"/>
          <w:color w:val="212529"/>
        </w:rPr>
      </w:pPr>
      <w:r>
        <w:rPr>
          <w:rFonts w:ascii="Century Gothic" w:hAnsi="Century Gothic"/>
        </w:rPr>
        <w:t xml:space="preserve">Nell’area della Capitale persiste una situazione stabile nonostante </w:t>
      </w:r>
      <w:r>
        <w:rPr>
          <w:rFonts w:ascii="Century Gothic" w:hAnsi="Century Gothic" w:cs="Arial"/>
          <w:color w:val="212529"/>
        </w:rPr>
        <w:t>il Governo di Unità Nazionale (GUN) abbia:</w:t>
      </w:r>
    </w:p>
    <w:p w14:paraId="0AAA6C62" w14:textId="77777777" w:rsidR="00A75CAB" w:rsidRDefault="00A75CAB" w:rsidP="00A75CAB">
      <w:pPr>
        <w:pStyle w:val="Default"/>
        <w:numPr>
          <w:ilvl w:val="0"/>
          <w:numId w:val="5"/>
        </w:numPr>
        <w:spacing w:line="360" w:lineRule="auto"/>
        <w:jc w:val="both"/>
        <w:rPr>
          <w:rFonts w:ascii="Century Gothic" w:hAnsi="Century Gothic" w:cs="Arial"/>
          <w:color w:val="212529"/>
        </w:rPr>
      </w:pPr>
      <w:r>
        <w:rPr>
          <w:rFonts w:ascii="Century Gothic" w:hAnsi="Century Gothic" w:cs="Arial"/>
          <w:color w:val="212529"/>
        </w:rPr>
        <w:t xml:space="preserve">dichiarato lo stato di emergenza in seguito all'appello a manifestazioni/proteste annunciate di Abu </w:t>
      </w:r>
      <w:proofErr w:type="spellStart"/>
      <w:r>
        <w:rPr>
          <w:rFonts w:ascii="Century Gothic" w:hAnsi="Century Gothic" w:cs="Arial"/>
          <w:color w:val="212529"/>
        </w:rPr>
        <w:t>Obayda</w:t>
      </w:r>
      <w:proofErr w:type="spellEnd"/>
      <w:r>
        <w:rPr>
          <w:rFonts w:ascii="Century Gothic" w:hAnsi="Century Gothic" w:cs="Arial"/>
          <w:color w:val="212529"/>
        </w:rPr>
        <w:t xml:space="preserve"> AL-ZAWY da tenersi nella capitale;</w:t>
      </w:r>
    </w:p>
    <w:p w14:paraId="470CA898" w14:textId="77777777" w:rsidR="00A75CAB" w:rsidRDefault="00A75CAB" w:rsidP="00A75CAB">
      <w:pPr>
        <w:pStyle w:val="Default"/>
        <w:numPr>
          <w:ilvl w:val="0"/>
          <w:numId w:val="5"/>
        </w:numPr>
        <w:spacing w:line="360" w:lineRule="auto"/>
        <w:jc w:val="both"/>
        <w:rPr>
          <w:rFonts w:ascii="Century Gothic" w:hAnsi="Century Gothic" w:cs="Arial"/>
          <w:color w:val="212529"/>
        </w:rPr>
      </w:pPr>
      <w:r>
        <w:rPr>
          <w:rFonts w:ascii="Century Gothic" w:hAnsi="Century Gothic" w:cs="Calibri"/>
        </w:rPr>
        <w:t>posto le unità di sicurezza del GUN in massimo stato di prontezza per gli eventi di AL-AZIZIYAH;</w:t>
      </w:r>
    </w:p>
    <w:p w14:paraId="4BACA383" w14:textId="77777777" w:rsidR="00A75CAB" w:rsidRDefault="00A75CAB" w:rsidP="00A75CAB">
      <w:pPr>
        <w:pStyle w:val="Default"/>
        <w:numPr>
          <w:ilvl w:val="0"/>
          <w:numId w:val="5"/>
        </w:numPr>
        <w:spacing w:line="360" w:lineRule="auto"/>
        <w:jc w:val="both"/>
        <w:rPr>
          <w:rFonts w:ascii="Century Gothic" w:hAnsi="Century Gothic"/>
          <w:b/>
          <w:bCs/>
          <w:color w:val="00000F"/>
        </w:rPr>
      </w:pPr>
      <w:r>
        <w:rPr>
          <w:rFonts w:ascii="Century Gothic" w:hAnsi="Century Gothic" w:cs="Calibri"/>
        </w:rPr>
        <w:t xml:space="preserve">irruzione nella sede del Consiglio Supremo della Magistratura (CSM) nel quartiere di AL- DAHRA a TRIPOLI. </w:t>
      </w:r>
      <w:r>
        <w:rPr>
          <w:rFonts w:ascii="Century Gothic" w:hAnsi="Century Gothic"/>
          <w:lang w:eastAsia="it-IT"/>
        </w:rPr>
        <w:t>Durante l’irruzione sono stati danneggiati alcune vetrine e divelti dei sistemi informatici. Non sono stati riportati feriti.</w:t>
      </w:r>
    </w:p>
    <w:p w14:paraId="3909BFB1" w14:textId="77777777" w:rsidR="00A75CAB" w:rsidRDefault="00A75CAB" w:rsidP="00A75CAB">
      <w:pPr>
        <w:pStyle w:val="Default"/>
        <w:numPr>
          <w:ilvl w:val="0"/>
          <w:numId w:val="4"/>
        </w:numPr>
        <w:spacing w:line="360" w:lineRule="auto"/>
        <w:ind w:left="567" w:hanging="283"/>
        <w:jc w:val="both"/>
        <w:rPr>
          <w:rFonts w:ascii="Century Gothic" w:hAnsi="Century Gothic"/>
          <w:b/>
          <w:bCs/>
          <w:color w:val="00000F"/>
        </w:rPr>
      </w:pPr>
      <w:r>
        <w:rPr>
          <w:rFonts w:ascii="Century Gothic" w:hAnsi="Century Gothic"/>
          <w:i/>
          <w:iCs/>
          <w:lang w:eastAsia="it-IT"/>
        </w:rPr>
        <w:t xml:space="preserve"> </w:t>
      </w:r>
      <w:r>
        <w:rPr>
          <w:rFonts w:ascii="Century Gothic" w:hAnsi="Century Gothic"/>
          <w:b/>
          <w:bCs/>
          <w:color w:val="00000F"/>
        </w:rPr>
        <w:t xml:space="preserve">(INCC) MISURATA </w:t>
      </w:r>
    </w:p>
    <w:p w14:paraId="460BC0BE" w14:textId="77777777" w:rsidR="00A75CAB" w:rsidRDefault="00A75CAB" w:rsidP="00A75CAB">
      <w:pPr>
        <w:pStyle w:val="Default"/>
        <w:spacing w:line="360" w:lineRule="auto"/>
        <w:ind w:left="567"/>
        <w:jc w:val="both"/>
        <w:rPr>
          <w:rFonts w:ascii="Century Gothic" w:hAnsi="Century Gothic"/>
        </w:rPr>
      </w:pPr>
      <w:r>
        <w:rPr>
          <w:rFonts w:ascii="Century Gothic" w:hAnsi="Century Gothic"/>
        </w:rPr>
        <w:lastRenderedPageBreak/>
        <w:t>La situazione di sicurezza a MISURATA e lungo la costa orientale di TRIPOLI rimane moderatamente stabile. L’area di misurata è stata interessata da operazioni delle unità di sicurezza governative per il contrasto al traffico illegale di clandestini, contrabbando di droga e lotta alla criminalità con:</w:t>
      </w:r>
    </w:p>
    <w:p w14:paraId="4BEE11E3" w14:textId="77777777" w:rsidR="00A75CAB" w:rsidRDefault="00A75CAB" w:rsidP="00A75CAB">
      <w:pPr>
        <w:pStyle w:val="Default"/>
        <w:numPr>
          <w:ilvl w:val="0"/>
          <w:numId w:val="5"/>
        </w:numPr>
        <w:spacing w:line="360" w:lineRule="auto"/>
        <w:jc w:val="both"/>
        <w:rPr>
          <w:rFonts w:ascii="Century Gothic" w:hAnsi="Century Gothic"/>
        </w:rPr>
      </w:pPr>
      <w:r>
        <w:rPr>
          <w:rFonts w:ascii="Century Gothic" w:hAnsi="Century Gothic"/>
        </w:rPr>
        <w:t>tensione tra la 51^ Brigata "Al-</w:t>
      </w:r>
      <w:proofErr w:type="spellStart"/>
      <w:r>
        <w:rPr>
          <w:rFonts w:ascii="Century Gothic" w:hAnsi="Century Gothic"/>
        </w:rPr>
        <w:t>Bugra</w:t>
      </w:r>
      <w:proofErr w:type="spellEnd"/>
      <w:r>
        <w:rPr>
          <w:rFonts w:ascii="Century Gothic" w:hAnsi="Century Gothic"/>
        </w:rPr>
        <w:t>" e una formazione armata proveniente da MISURATA sulla strada costiera di GHARABOLLI. Uditi spari sporadici nei villaggi di QASR AL-AKHYAR e ALALUAS dopo il rinforzo di unità della 51^ Brigata; evento probabilmente correlato alla presenza della formazione armata.</w:t>
      </w:r>
    </w:p>
    <w:p w14:paraId="07311BA4" w14:textId="77777777" w:rsidR="00A75CAB" w:rsidRDefault="00A75CAB" w:rsidP="00A75CAB">
      <w:pPr>
        <w:pStyle w:val="Default"/>
        <w:numPr>
          <w:ilvl w:val="0"/>
          <w:numId w:val="5"/>
        </w:numPr>
        <w:spacing w:line="360" w:lineRule="auto"/>
        <w:jc w:val="both"/>
        <w:rPr>
          <w:rFonts w:ascii="Century Gothic" w:hAnsi="Century Gothic"/>
        </w:rPr>
      </w:pPr>
      <w:r>
        <w:rPr>
          <w:rFonts w:ascii="Century Gothic" w:hAnsi="Century Gothic"/>
        </w:rPr>
        <w:t>operazioni di sicurezza marittima nel Golfo di SIRTE; nell’area marittima compresa tra BUERAT, MISURATA e DAFINIYAH sono stati sequestrati circa ottanta chili di sostanze stupefacenti;</w:t>
      </w:r>
    </w:p>
    <w:p w14:paraId="01FE24D2" w14:textId="77777777" w:rsidR="00A75CAB" w:rsidRDefault="00A75CAB" w:rsidP="00A75CAB">
      <w:pPr>
        <w:pStyle w:val="Default"/>
        <w:numPr>
          <w:ilvl w:val="0"/>
          <w:numId w:val="5"/>
        </w:numPr>
        <w:spacing w:line="360" w:lineRule="auto"/>
        <w:jc w:val="both"/>
        <w:rPr>
          <w:rFonts w:ascii="Century Gothic" w:hAnsi="Century Gothic"/>
        </w:rPr>
      </w:pPr>
      <w:r>
        <w:rPr>
          <w:rFonts w:ascii="Century Gothic" w:hAnsi="Century Gothic"/>
        </w:rPr>
        <w:t>rinvenuto su una spiaggia nel distretto di YEDDIR, di un’ingente quantità di munizionamento di RPG. Non nota al momento la provenienza del materiale bellico. Tutto il materiale è stato recuperato per essere successivamente distrutto.</w:t>
      </w:r>
    </w:p>
    <w:p w14:paraId="6626B64C" w14:textId="77777777" w:rsidR="004A1BA2" w:rsidRDefault="004A1BA2"/>
    <w:sectPr w:rsidR="004A1BA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778A" w14:textId="77777777" w:rsidR="00635337" w:rsidRDefault="00635337" w:rsidP="00635337">
      <w:pPr>
        <w:spacing w:after="0" w:line="240" w:lineRule="auto"/>
      </w:pPr>
      <w:r>
        <w:separator/>
      </w:r>
    </w:p>
  </w:endnote>
  <w:endnote w:type="continuationSeparator" w:id="0">
    <w:p w14:paraId="1C238990" w14:textId="77777777" w:rsidR="00635337" w:rsidRDefault="00635337" w:rsidP="0063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IDFont+F4">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26AD" w14:textId="77777777" w:rsidR="00635337" w:rsidRDefault="00635337" w:rsidP="00635337">
      <w:pPr>
        <w:spacing w:after="0" w:line="240" w:lineRule="auto"/>
      </w:pPr>
      <w:r>
        <w:separator/>
      </w:r>
    </w:p>
  </w:footnote>
  <w:footnote w:type="continuationSeparator" w:id="0">
    <w:p w14:paraId="2E200345" w14:textId="77777777" w:rsidR="00635337" w:rsidRDefault="00635337" w:rsidP="00635337">
      <w:pPr>
        <w:spacing w:after="0" w:line="240" w:lineRule="auto"/>
      </w:pPr>
      <w:r>
        <w:continuationSeparator/>
      </w:r>
    </w:p>
  </w:footnote>
  <w:footnote w:id="1">
    <w:p w14:paraId="3509E5F2" w14:textId="77777777" w:rsidR="00635337" w:rsidRPr="002476AA" w:rsidRDefault="00635337" w:rsidP="00635337">
      <w:pPr>
        <w:ind w:left="284" w:right="281" w:hanging="284"/>
        <w:jc w:val="both"/>
        <w:rPr>
          <w:rFonts w:ascii="Century Gothic" w:hAnsi="Century Gothic" w:cs="Segoe UI"/>
          <w:color w:val="0F1419"/>
          <w:sz w:val="18"/>
          <w:szCs w:val="18"/>
          <w:shd w:val="clear" w:color="auto" w:fill="FFFFFF"/>
        </w:rPr>
      </w:pPr>
      <w:r>
        <w:rPr>
          <w:rStyle w:val="Rimandonotaapidipagina"/>
        </w:rPr>
        <w:footnoteRef/>
      </w:r>
      <w:r>
        <w:t xml:space="preserve">   I</w:t>
      </w:r>
      <w:r>
        <w:rPr>
          <w:rFonts w:ascii="Century Gothic" w:hAnsi="Century Gothic"/>
          <w:sz w:val="18"/>
          <w:szCs w:val="18"/>
        </w:rPr>
        <w:t xml:space="preserve"> </w:t>
      </w:r>
      <w:r w:rsidRPr="000D00DB">
        <w:rPr>
          <w:rFonts w:ascii="Century Gothic" w:hAnsi="Century Gothic" w:cs="Segoe UI"/>
          <w:color w:val="0F1419"/>
          <w:sz w:val="18"/>
          <w:szCs w:val="18"/>
          <w:shd w:val="clear" w:color="auto" w:fill="FFFFFF"/>
        </w:rPr>
        <w:t>Dipartimenti</w:t>
      </w:r>
      <w:r>
        <w:rPr>
          <w:rFonts w:ascii="Century Gothic" w:hAnsi="Century Gothic" w:cs="Segoe UI"/>
          <w:color w:val="0F1419"/>
          <w:sz w:val="18"/>
          <w:szCs w:val="18"/>
          <w:shd w:val="clear" w:color="auto" w:fill="FFFFFF"/>
        </w:rPr>
        <w:t xml:space="preserve"> delle varie regioni e </w:t>
      </w:r>
      <w:r w:rsidRPr="006D67B5">
        <w:rPr>
          <w:rFonts w:ascii="Century Gothic" w:hAnsi="Century Gothic" w:cs="Segoe UI"/>
          <w:color w:val="0F1419"/>
          <w:sz w:val="18"/>
          <w:szCs w:val="18"/>
          <w:shd w:val="clear" w:color="auto" w:fill="FFFFFF"/>
        </w:rPr>
        <w:t>città della LIBIA</w:t>
      </w:r>
      <w:r>
        <w:rPr>
          <w:rFonts w:ascii="Century Gothic" w:hAnsi="Century Gothic" w:cs="Segoe UI"/>
          <w:color w:val="0F1419"/>
          <w:sz w:val="18"/>
          <w:szCs w:val="18"/>
          <w:shd w:val="clear" w:color="auto" w:fill="FFFFFF"/>
        </w:rPr>
        <w:t xml:space="preserve"> </w:t>
      </w:r>
      <w:r w:rsidRPr="000D00DB">
        <w:rPr>
          <w:rFonts w:ascii="Century Gothic" w:hAnsi="Century Gothic"/>
          <w:sz w:val="18"/>
          <w:szCs w:val="18"/>
        </w:rPr>
        <w:t xml:space="preserve">(TRIPOLITANIA) </w:t>
      </w:r>
      <w:r>
        <w:rPr>
          <w:rFonts w:ascii="Century Gothic" w:hAnsi="Century Gothic" w:cs="Segoe UI"/>
          <w:color w:val="0F1419"/>
          <w:sz w:val="18"/>
          <w:szCs w:val="18"/>
          <w:shd w:val="clear" w:color="auto" w:fill="FFFFFF"/>
        </w:rPr>
        <w:t>dell</w:t>
      </w:r>
      <w:r w:rsidRPr="006D67B5">
        <w:rPr>
          <w:rFonts w:ascii="Century Gothic" w:hAnsi="Century Gothic" w:cs="Segoe UI"/>
          <w:color w:val="0F1419"/>
          <w:sz w:val="18"/>
          <w:szCs w:val="18"/>
          <w:shd w:val="clear" w:color="auto" w:fill="FFFFFF"/>
        </w:rPr>
        <w:t xml:space="preserve">'Agenzia per la </w:t>
      </w:r>
      <w:r>
        <w:rPr>
          <w:rFonts w:ascii="Century Gothic" w:hAnsi="Century Gothic" w:cs="Segoe UI"/>
          <w:color w:val="0F1419"/>
          <w:sz w:val="18"/>
          <w:szCs w:val="18"/>
          <w:shd w:val="clear" w:color="auto" w:fill="FFFFFF"/>
        </w:rPr>
        <w:t>L</w:t>
      </w:r>
      <w:r w:rsidRPr="006D67B5">
        <w:rPr>
          <w:rFonts w:ascii="Century Gothic" w:hAnsi="Century Gothic" w:cs="Segoe UI"/>
          <w:color w:val="0F1419"/>
          <w:sz w:val="18"/>
          <w:szCs w:val="18"/>
          <w:shd w:val="clear" w:color="auto" w:fill="FFFFFF"/>
        </w:rPr>
        <w:t xml:space="preserve">otta agli </w:t>
      </w:r>
      <w:r>
        <w:rPr>
          <w:rFonts w:ascii="Century Gothic" w:hAnsi="Century Gothic" w:cs="Segoe UI"/>
          <w:color w:val="0F1419"/>
          <w:sz w:val="18"/>
          <w:szCs w:val="18"/>
          <w:shd w:val="clear" w:color="auto" w:fill="FFFFFF"/>
        </w:rPr>
        <w:t>S</w:t>
      </w:r>
      <w:r w:rsidRPr="006D67B5">
        <w:rPr>
          <w:rFonts w:ascii="Century Gothic" w:hAnsi="Century Gothic" w:cs="Segoe UI"/>
          <w:color w:val="0F1419"/>
          <w:sz w:val="18"/>
          <w:szCs w:val="18"/>
          <w:shd w:val="clear" w:color="auto" w:fill="FFFFFF"/>
        </w:rPr>
        <w:t xml:space="preserve">tupefacenti e alle </w:t>
      </w:r>
      <w:r>
        <w:rPr>
          <w:rFonts w:ascii="Century Gothic" w:hAnsi="Century Gothic" w:cs="Segoe UI"/>
          <w:color w:val="0F1419"/>
          <w:sz w:val="18"/>
          <w:szCs w:val="18"/>
          <w:shd w:val="clear" w:color="auto" w:fill="FFFFFF"/>
        </w:rPr>
        <w:t>S</w:t>
      </w:r>
      <w:r w:rsidRPr="006D67B5">
        <w:rPr>
          <w:rFonts w:ascii="Century Gothic" w:hAnsi="Century Gothic" w:cs="Segoe UI"/>
          <w:color w:val="0F1419"/>
          <w:sz w:val="18"/>
          <w:szCs w:val="18"/>
          <w:shd w:val="clear" w:color="auto" w:fill="FFFFFF"/>
        </w:rPr>
        <w:t xml:space="preserve">ostanze </w:t>
      </w:r>
      <w:r>
        <w:rPr>
          <w:rFonts w:ascii="Century Gothic" w:hAnsi="Century Gothic" w:cs="Segoe UI"/>
          <w:color w:val="0F1419"/>
          <w:sz w:val="18"/>
          <w:szCs w:val="18"/>
          <w:shd w:val="clear" w:color="auto" w:fill="FFFFFF"/>
        </w:rPr>
        <w:t>P</w:t>
      </w:r>
      <w:r w:rsidRPr="006D67B5">
        <w:rPr>
          <w:rFonts w:ascii="Century Gothic" w:hAnsi="Century Gothic" w:cs="Segoe UI"/>
          <w:color w:val="0F1419"/>
          <w:sz w:val="18"/>
          <w:szCs w:val="18"/>
          <w:shd w:val="clear" w:color="auto" w:fill="FFFFFF"/>
        </w:rPr>
        <w:t xml:space="preserve">sicotrope, </w:t>
      </w:r>
      <w:r>
        <w:rPr>
          <w:rFonts w:ascii="Century Gothic" w:hAnsi="Century Gothic" w:cs="Segoe UI"/>
          <w:color w:val="0F1419"/>
          <w:sz w:val="18"/>
          <w:szCs w:val="18"/>
          <w:shd w:val="clear" w:color="auto" w:fill="FFFFFF"/>
        </w:rPr>
        <w:t xml:space="preserve">hanno arrestato </w:t>
      </w:r>
      <w:r w:rsidRPr="006D67B5">
        <w:rPr>
          <w:rFonts w:ascii="Century Gothic" w:hAnsi="Century Gothic" w:cs="Segoe UI"/>
          <w:color w:val="0F1419"/>
          <w:sz w:val="18"/>
          <w:szCs w:val="18"/>
          <w:shd w:val="clear" w:color="auto" w:fill="FFFFFF"/>
        </w:rPr>
        <w:t xml:space="preserve">22 persone </w:t>
      </w:r>
      <w:r>
        <w:rPr>
          <w:rFonts w:ascii="Century Gothic" w:hAnsi="Century Gothic" w:cs="Segoe UI"/>
          <w:color w:val="0F1419"/>
          <w:sz w:val="18"/>
          <w:szCs w:val="18"/>
          <w:shd w:val="clear" w:color="auto" w:fill="FFFFFF"/>
        </w:rPr>
        <w:t xml:space="preserve">coinvolte nel </w:t>
      </w:r>
      <w:r w:rsidRPr="006D67B5">
        <w:rPr>
          <w:rFonts w:ascii="Century Gothic" w:hAnsi="Century Gothic" w:cs="Segoe UI"/>
          <w:color w:val="0F1419"/>
          <w:sz w:val="18"/>
          <w:szCs w:val="18"/>
          <w:shd w:val="clear" w:color="auto" w:fill="FFFFFF"/>
        </w:rPr>
        <w:t xml:space="preserve">commercio di </w:t>
      </w:r>
      <w:r>
        <w:rPr>
          <w:rFonts w:ascii="Century Gothic" w:hAnsi="Century Gothic" w:cs="Segoe UI"/>
          <w:color w:val="0F1419"/>
          <w:sz w:val="18"/>
          <w:szCs w:val="18"/>
          <w:shd w:val="clear" w:color="auto" w:fill="FFFFFF"/>
        </w:rPr>
        <w:t xml:space="preserve">sostanze stupefacenti </w:t>
      </w:r>
      <w:r w:rsidRPr="006D67B5">
        <w:rPr>
          <w:rFonts w:ascii="Century Gothic" w:hAnsi="Century Gothic" w:cs="Segoe UI"/>
          <w:color w:val="0F1419"/>
          <w:sz w:val="18"/>
          <w:szCs w:val="18"/>
          <w:shd w:val="clear" w:color="auto" w:fill="FFFFFF"/>
        </w:rPr>
        <w:t xml:space="preserve">e hanno sequestrato 3229 pasticche di narcotici e circa 2 chilogrammi di hashish, oltre a grandi quantità di alcolici locali e </w:t>
      </w:r>
      <w:r>
        <w:rPr>
          <w:rFonts w:ascii="Century Gothic" w:hAnsi="Century Gothic" w:cs="Segoe UI"/>
          <w:color w:val="0F1419"/>
          <w:sz w:val="18"/>
          <w:szCs w:val="18"/>
          <w:shd w:val="clear" w:color="auto" w:fill="FFFFFF"/>
        </w:rPr>
        <w:t>di importazione</w:t>
      </w:r>
      <w:r w:rsidRPr="006D67B5">
        <w:rPr>
          <w:rFonts w:ascii="Century Gothic" w:hAnsi="Century Gothic" w:cs="Segoe UI"/>
          <w:color w:val="0F1419"/>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408B"/>
    <w:multiLevelType w:val="hybridMultilevel"/>
    <w:tmpl w:val="89BC56DE"/>
    <w:lvl w:ilvl="0" w:tplc="0410000D">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 w15:restartNumberingAfterBreak="0">
    <w:nsid w:val="19D8327D"/>
    <w:multiLevelType w:val="hybridMultilevel"/>
    <w:tmpl w:val="3744B99A"/>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 w15:restartNumberingAfterBreak="0">
    <w:nsid w:val="3629039C"/>
    <w:multiLevelType w:val="hybridMultilevel"/>
    <w:tmpl w:val="418E757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EF23C7E"/>
    <w:multiLevelType w:val="hybridMultilevel"/>
    <w:tmpl w:val="F860FFE0"/>
    <w:lvl w:ilvl="0" w:tplc="0410000D">
      <w:start w:val="1"/>
      <w:numFmt w:val="bullet"/>
      <w:lvlText w:val=""/>
      <w:lvlJc w:val="left"/>
      <w:pPr>
        <w:ind w:left="927" w:hanging="360"/>
      </w:pPr>
      <w:rPr>
        <w:rFonts w:ascii="Wingdings" w:hAnsi="Wingdings"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4" w15:restartNumberingAfterBreak="0">
    <w:nsid w:val="60B125DF"/>
    <w:multiLevelType w:val="hybridMultilevel"/>
    <w:tmpl w:val="FE80011E"/>
    <w:lvl w:ilvl="0" w:tplc="56764F20">
      <w:start w:val="1"/>
      <w:numFmt w:val="decimal"/>
      <w:lvlText w:val="%1."/>
      <w:lvlJc w:val="left"/>
      <w:pPr>
        <w:ind w:left="360" w:hanging="360"/>
      </w:pPr>
      <w:rPr>
        <w:b/>
        <w:color w:val="000009"/>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437599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041361">
    <w:abstractNumId w:val="1"/>
  </w:num>
  <w:num w:numId="3" w16cid:durableId="1600025173">
    <w:abstractNumId w:val="0"/>
  </w:num>
  <w:num w:numId="4" w16cid:durableId="572201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898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224C"/>
    <w:rsid w:val="001D6A23"/>
    <w:rsid w:val="002B224C"/>
    <w:rsid w:val="004A1BA2"/>
    <w:rsid w:val="00635337"/>
    <w:rsid w:val="00A75CAB"/>
    <w:rsid w:val="00F711F6"/>
    <w:rsid w:val="00FD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0507"/>
  <w15:chartTrackingRefBased/>
  <w15:docId w15:val="{EF33A9C0-36F8-429D-B0DD-839389E1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CAB"/>
    <w:pPr>
      <w:spacing w:after="160" w:line="254"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A75CAB"/>
    <w:rPr>
      <w:rFonts w:ascii="Calibri" w:eastAsia="Calibri" w:hAnsi="Calibri" w:cs="Times New Roman"/>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A75CAB"/>
    <w:pPr>
      <w:ind w:left="720"/>
      <w:contextualSpacing/>
    </w:pPr>
  </w:style>
  <w:style w:type="paragraph" w:customStyle="1" w:styleId="Default">
    <w:name w:val="Default"/>
    <w:rsid w:val="00A75C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75CAB"/>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635337"/>
    <w:rPr>
      <w:vertAlign w:val="superscrip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635337"/>
    <w:pPr>
      <w:spacing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2310">
      <w:bodyDiv w:val="1"/>
      <w:marLeft w:val="0"/>
      <w:marRight w:val="0"/>
      <w:marTop w:val="0"/>
      <w:marBottom w:val="0"/>
      <w:divBdr>
        <w:top w:val="none" w:sz="0" w:space="0" w:color="auto"/>
        <w:left w:val="none" w:sz="0" w:space="0" w:color="auto"/>
        <w:bottom w:val="none" w:sz="0" w:space="0" w:color="auto"/>
        <w:right w:val="none" w:sz="0" w:space="0" w:color="auto"/>
      </w:divBdr>
    </w:div>
    <w:div w:id="178592881">
      <w:bodyDiv w:val="1"/>
      <w:marLeft w:val="0"/>
      <w:marRight w:val="0"/>
      <w:marTop w:val="0"/>
      <w:marBottom w:val="0"/>
      <w:divBdr>
        <w:top w:val="none" w:sz="0" w:space="0" w:color="auto"/>
        <w:left w:val="none" w:sz="0" w:space="0" w:color="auto"/>
        <w:bottom w:val="none" w:sz="0" w:space="0" w:color="auto"/>
        <w:right w:val="none" w:sz="0" w:space="0" w:color="auto"/>
      </w:divBdr>
    </w:div>
    <w:div w:id="315384596">
      <w:bodyDiv w:val="1"/>
      <w:marLeft w:val="0"/>
      <w:marRight w:val="0"/>
      <w:marTop w:val="0"/>
      <w:marBottom w:val="0"/>
      <w:divBdr>
        <w:top w:val="none" w:sz="0" w:space="0" w:color="auto"/>
        <w:left w:val="none" w:sz="0" w:space="0" w:color="auto"/>
        <w:bottom w:val="none" w:sz="0" w:space="0" w:color="auto"/>
        <w:right w:val="none" w:sz="0" w:space="0" w:color="auto"/>
      </w:divBdr>
    </w:div>
    <w:div w:id="11809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7856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2023-09-01T12:43:00Z</dcterms:created>
  <dcterms:modified xsi:type="dcterms:W3CDTF">2023-09-02T14:17:00Z</dcterms:modified>
</cp:coreProperties>
</file>